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rPr>
          <w:rFonts w:ascii="Arial" w:cs="Arial" w:eastAsia="Arial" w:hAnsi="Arial"/>
          <w:b/>
          <w:bCs/>
          <w:color w:val="1A2E4A"/>
          <w:sz w:val="40"/>
          <w:szCs w:val="40"/>
        </w:rPr>
        <w:t xml:space="preserve">Kickstarter Reward Tiers</w:t>
      </w:r>
    </w:p>
    <w:p>
      <w:pPr>
        <w:spacing w:after="260"/>
      </w:pPr>
      <w:r>
        <w:rPr>
          <w:rFonts w:ascii="Arial" w:cs="Arial" w:eastAsia="Arial" w:hAnsi="Arial"/>
          <w:i/>
          <w:iCs/>
          <w:color w:val="52646D"/>
          <w:sz w:val="21"/>
          <w:szCs w:val="21"/>
        </w:rPr>
        <w:t xml:space="preserve">Pledge structure for the HydroWarm Comfort crowdfunding campaign</w:t>
      </w:r>
    </w:p>
    <w:p>
      <w:pPr>
        <w:spacing w:after="140"/>
      </w:pPr>
      <w:r>
        <w:rPr>
          <w:rFonts w:ascii="Arial" w:cs="Arial" w:eastAsia="Arial" w:hAnsi="Arial"/>
          <w:color w:val="16232F"/>
          <w:sz w:val="20"/>
          <w:szCs w:val="20"/>
        </w:rPr>
        <w:t xml:space="preserve">Reward-tier structure for the HydroWarm Comfort launch campaign. Narrative campaign copy (headline, hook, problem, solution) is in the separate Marketing Copy document — this covers only the tiers themselves: what each pledge includes, what it saves against retail, and what's still open to confirm before the campaign goes live.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760A" w:sz="8"/>
              <w:left w:val="single" w:color="B8760A" w:sz="8"/>
              <w:bottom w:val="single" w:color="B8760A" w:sz="8"/>
              <w:right w:val="single" w:color="B8760A" w:sz="8"/>
            </w:tcBorders>
            <w:shd w:fill="FBF1E0" w:val="clear"/>
            <w:tcMar>
              <w:top w:type="dxa" w:w="160"/>
              <w:left w:type="dxa" w:w="180"/>
              <w:bottom w:type="dxa" w:w="160"/>
              <w:right w:type="dxa" w:w="180"/>
            </w:tcMar>
          </w:tcPr>
          <w:p>
            <w:pPr>
              <w:spacing w:after="0" w:before="0"/>
            </w:pPr>
            <w:r>
              <w:rPr>
                <w:rFonts w:ascii="Arial" w:cs="Arial" w:eastAsia="Arial" w:hAnsi="Arial"/>
                <w:b/>
                <w:bCs/>
                <w:color w:val="B8760A"/>
                <w:sz w:val="19"/>
                <w:szCs w:val="19"/>
              </w:rPr>
              <w:t xml:space="preserve">Prices below are calculated against the planned retail prices from the July 2026 financial model (Comfort €36, refill 2-pack €9, Charge Single €59) — not yet confirmed against a real factory quote. Confirm COGS before locking these publicly; at the low end of the Comfort COGS range (€11) every tier still clears cost, but the Super Early Bird tier has the thinnest margin and is the first to check once real quotes land.</w:t>
            </w:r>
          </w:p>
        </w:tc>
      </w:tr>
    </w:tbl>
    <w:p>
      <w:pPr>
        <w:pStyle w:val="Heading1"/>
        <w:pBdr>
          <w:bottom w:val="single" w:color="1A6B8A" w:sz="6"/>
        </w:pBdr>
        <w:spacing w:after="160" w:before="380"/>
      </w:pPr>
      <w:r>
        <w:rPr>
          <w:rFonts w:ascii="Arial" w:cs="Arial" w:eastAsia="Arial" w:hAnsi="Arial"/>
          <w:b/>
          <w:bCs/>
          <w:color w:val="124B61"/>
          <w:sz w:val="30"/>
          <w:szCs w:val="30"/>
        </w:rPr>
        <w:t xml:space="preserve">1. Reward tiers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3200"/>
        <w:gridCol w:w="1900"/>
        <w:gridCol w:w="1550"/>
      </w:tblGrid>
      <w:tr>
        <w:trPr>
          <w:tblHeader/>
        </w:trPr>
        <w:tc>
          <w:tcPr>
            <w:tcW w:type="dxa" w:w="24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Tier</w:t>
            </w:r>
          </w:p>
        </w:tc>
        <w:tc>
          <w:tcPr>
            <w:tcW w:type="dxa" w:w="13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Pledge</w:t>
            </w:r>
          </w:p>
        </w:tc>
        <w:tc>
          <w:tcPr>
            <w:tcW w:type="dxa" w:w="3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Includes</w:t>
            </w:r>
          </w:p>
        </w:tc>
        <w:tc>
          <w:tcPr>
            <w:tcW w:type="dxa" w:w="19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Save vs. retail</w:t>
            </w:r>
          </w:p>
        </w:tc>
        <w:tc>
          <w:tcPr>
            <w:tcW w:type="dxa" w:w="15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Limited to</w:t>
            </w:r>
          </w:p>
        </w:tc>
      </w:tr>
      <w:tr>
        <w:tc>
          <w:tcPr>
            <w:tcW w:type="dxa" w:w="2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Thank You</w:t>
            </w:r>
          </w:p>
        </w:tc>
        <w:tc>
          <w:tcPr>
            <w:tcW w:type="dxa" w:w="13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€5</w:t>
            </w:r>
          </w:p>
        </w:tc>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No physical reward — backer badge, all campaign updates</w:t>
            </w:r>
          </w:p>
        </w:tc>
        <w:tc>
          <w:tcPr>
            <w:tcW w:type="dxa" w:w="1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w:t>
            </w:r>
          </w:p>
        </w:tc>
        <w:tc>
          <w:tcPr>
            <w:tcW w:type="dxa" w:w="1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Unlimited</w:t>
            </w:r>
          </w:p>
        </w:tc>
      </w:tr>
      <w:tr>
        <w:tc>
          <w:tcPr>
            <w:tcW w:type="dxa" w:w="2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Super Early Bird</w:t>
            </w:r>
          </w:p>
        </w:tc>
        <w:tc>
          <w:tcPr>
            <w:tcW w:type="dxa" w:w="13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€24</w:t>
            </w:r>
          </w:p>
        </w:tc>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 HydroWarm Comfort</w:t>
            </w:r>
          </w:p>
        </w:tc>
        <w:tc>
          <w:tcPr>
            <w:tcW w:type="dxa" w:w="1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€12 (33% off €36)</w:t>
            </w:r>
          </w:p>
        </w:tc>
        <w:tc>
          <w:tcPr>
            <w:tcW w:type="dxa" w:w="1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First 100 backers</w:t>
            </w:r>
          </w:p>
        </w:tc>
      </w:tr>
      <w:tr>
        <w:tc>
          <w:tcPr>
            <w:tcW w:type="dxa" w:w="2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Early Bird</w:t>
            </w:r>
          </w:p>
        </w:tc>
        <w:tc>
          <w:tcPr>
            <w:tcW w:type="dxa" w:w="13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€27</w:t>
            </w:r>
          </w:p>
        </w:tc>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 HydroWarm Comfort</w:t>
            </w:r>
          </w:p>
        </w:tc>
        <w:tc>
          <w:tcPr>
            <w:tcW w:type="dxa" w:w="1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€9 (25% off €36)</w:t>
            </w:r>
          </w:p>
        </w:tc>
        <w:tc>
          <w:tcPr>
            <w:tcW w:type="dxa" w:w="1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Next 300 backers</w:t>
            </w:r>
          </w:p>
        </w:tc>
      </w:tr>
      <w:tr>
        <w:tc>
          <w:tcPr>
            <w:tcW w:type="dxa" w:w="2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Founder</w:t>
            </w:r>
          </w:p>
        </w:tc>
        <w:tc>
          <w:tcPr>
            <w:tcW w:type="dxa" w:w="13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€29</w:t>
            </w:r>
          </w:p>
        </w:tc>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 HydroWarm Comfort</w:t>
            </w:r>
          </w:p>
        </w:tc>
        <w:tc>
          <w:tcPr>
            <w:tcW w:type="dxa" w:w="1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€7 (19% off €36)</w:t>
            </w:r>
          </w:p>
        </w:tc>
        <w:tc>
          <w:tcPr>
            <w:tcW w:type="dxa" w:w="1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Unlimited</w:t>
            </w:r>
          </w:p>
        </w:tc>
      </w:tr>
      <w:tr>
        <w:tc>
          <w:tcPr>
            <w:tcW w:type="dxa" w:w="2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Founder + Refill</w:t>
            </w:r>
          </w:p>
        </w:tc>
        <w:tc>
          <w:tcPr>
            <w:tcW w:type="dxa" w:w="13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€38</w:t>
            </w:r>
          </w:p>
        </w:tc>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 Comfort + 1× refill 2-pack</w:t>
            </w:r>
          </w:p>
        </w:tc>
        <w:tc>
          <w:tcPr>
            <w:tcW w:type="dxa" w:w="1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€7 (16% off €45 combined)</w:t>
            </w:r>
          </w:p>
        </w:tc>
        <w:tc>
          <w:tcPr>
            <w:tcW w:type="dxa" w:w="1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Unlimited</w:t>
            </w:r>
          </w:p>
        </w:tc>
      </w:tr>
      <w:tr>
        <w:tc>
          <w:tcPr>
            <w:tcW w:type="dxa" w:w="2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Two Feet, One Household</w:t>
            </w:r>
          </w:p>
        </w:tc>
        <w:tc>
          <w:tcPr>
            <w:tcW w:type="dxa" w:w="13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€58</w:t>
            </w:r>
          </w:p>
        </w:tc>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 HydroWarm Comfort</w:t>
            </w:r>
          </w:p>
        </w:tc>
        <w:tc>
          <w:tcPr>
            <w:tcW w:type="dxa" w:w="1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€14 (19% off €72)</w:t>
            </w:r>
          </w:p>
        </w:tc>
        <w:tc>
          <w:tcPr>
            <w:tcW w:type="dxa" w:w="1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Unlimited</w:t>
            </w:r>
          </w:p>
        </w:tc>
      </w:tr>
      <w:tr>
        <w:tc>
          <w:tcPr>
            <w:tcW w:type="dxa" w:w="24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Desk Warrior Bundle</w:t>
            </w:r>
          </w:p>
        </w:tc>
        <w:tc>
          <w:tcPr>
            <w:tcW w:type="dxa" w:w="13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€72</w:t>
            </w:r>
          </w:p>
        </w:tc>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 Comfort + 2× refill 2-packs</w:t>
            </w:r>
          </w:p>
        </w:tc>
        <w:tc>
          <w:tcPr>
            <w:tcW w:type="dxa" w:w="1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€18 (20% off €90 combined)</w:t>
            </w:r>
          </w:p>
        </w:tc>
        <w:tc>
          <w:tcPr>
            <w:tcW w:type="dxa" w:w="1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Unlimited</w:t>
            </w:r>
          </w:p>
        </w:tc>
      </w:tr>
      <w:tr>
        <w:tc>
          <w:tcPr>
            <w:tcW w:type="dxa" w:w="24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Charge Founder Credit</w:t>
            </w:r>
          </w:p>
        </w:tc>
        <w:tc>
          <w:tcPr>
            <w:tcW w:type="dxa" w:w="13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€49</w:t>
            </w:r>
          </w:p>
        </w:tc>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 HydroWarm Charge Single, at its later launch</w:t>
            </w:r>
          </w:p>
        </w:tc>
        <w:tc>
          <w:tcPr>
            <w:tcW w:type="dxa" w:w="1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€10 (17% off €59)</w:t>
            </w:r>
          </w:p>
        </w:tc>
        <w:tc>
          <w:tcPr>
            <w:tcW w:type="dxa" w:w="1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First 200 backers</w:t>
            </w:r>
          </w:p>
        </w:tc>
      </w:tr>
    </w:tbl>
    <w:p>
      <w:pPr>
        <w:pStyle w:val="Heading1"/>
        <w:pBdr>
          <w:bottom w:val="single" w:color="1A6B8A" w:sz="6"/>
        </w:pBdr>
        <w:spacing w:after="160" w:before="380"/>
      </w:pPr>
      <w:r>
        <w:rPr>
          <w:rFonts w:ascii="Arial" w:cs="Arial" w:eastAsia="Arial" w:hAnsi="Arial"/>
          <w:b/>
          <w:bCs/>
          <w:color w:val="124B61"/>
          <w:sz w:val="30"/>
          <w:szCs w:val="30"/>
        </w:rPr>
        <w:t xml:space="preserve">2. Tier notes</w:t>
      </w:r>
    </w:p>
    <w:p>
      <w:pPr>
        <w:spacing w:after="100" w:before="240"/>
      </w:pPr>
      <w:r>
        <w:rPr>
          <w:rFonts w:ascii="Arial" w:cs="Arial" w:eastAsia="Arial" w:hAnsi="Arial"/>
          <w:b/>
          <w:bCs/>
          <w:color w:val="16232F"/>
          <w:sz w:val="24"/>
          <w:szCs w:val="24"/>
        </w:rPr>
        <w:t xml:space="preserve">Super Early Bird / Early Bird</w:t>
      </w:r>
    </w:p>
    <w:p>
      <w:pPr>
        <w:spacing w:after="140"/>
      </w:pPr>
      <w:r>
        <w:rPr>
          <w:rFonts w:ascii="Arial" w:cs="Arial" w:eastAsia="Arial" w:hAnsi="Arial"/>
          <w:color w:val="16232F"/>
          <w:sz w:val="20"/>
          <w:szCs w:val="20"/>
        </w:rPr>
        <w:t xml:space="preserve">The steepest discounts, capped tightly (100 / 300 backers) — these exist to create early momentum and reward the backers who commit before there's any social proof. Thinnest margin in the whole structure; don't raise the caps without rechecking COGS.</w:t>
      </w:r>
    </w:p>
    <w:p>
      <w:pPr>
        <w:spacing w:after="100" w:before="240"/>
      </w:pPr>
      <w:r>
        <w:rPr>
          <w:rFonts w:ascii="Arial" w:cs="Arial" w:eastAsia="Arial" w:hAnsi="Arial"/>
          <w:b/>
          <w:bCs/>
          <w:color w:val="16232F"/>
          <w:sz w:val="24"/>
          <w:szCs w:val="24"/>
        </w:rPr>
        <w:t xml:space="preserve">Founder</w:t>
      </w:r>
    </w:p>
    <w:p>
      <w:pPr>
        <w:spacing w:after="140"/>
      </w:pPr>
      <w:r>
        <w:rPr>
          <w:rFonts w:ascii="Arial" w:cs="Arial" w:eastAsia="Arial" w:hAnsi="Arial"/>
          <w:color w:val="16232F"/>
          <w:sz w:val="20"/>
          <w:szCs w:val="20"/>
        </w:rPr>
        <w:t xml:space="preserve">The uncapped baseline tier — this is the price the campaign should be judged against. Every other tier's discount is framed relative to retail, not relative to this tier, so the campaign page should state retail price (€36) prominently.</w:t>
      </w:r>
    </w:p>
    <w:p>
      <w:pPr>
        <w:spacing w:after="100" w:before="240"/>
      </w:pPr>
      <w:r>
        <w:rPr>
          <w:rFonts w:ascii="Arial" w:cs="Arial" w:eastAsia="Arial" w:hAnsi="Arial"/>
          <w:b/>
          <w:bCs/>
          <w:color w:val="16232F"/>
          <w:sz w:val="24"/>
          <w:szCs w:val="24"/>
        </w:rPr>
        <w:t xml:space="preserve">Bundle tiers (Founder + Refill, Two Feet, Desk Warrior)</w:t>
      </w:r>
    </w:p>
    <w:p>
      <w:pPr>
        <w:spacing w:after="140"/>
      </w:pPr>
      <w:r>
        <w:rPr>
          <w:rFonts w:ascii="Arial" w:cs="Arial" w:eastAsia="Arial" w:hAnsi="Arial"/>
          <w:color w:val="16232F"/>
          <w:sz w:val="20"/>
          <w:szCs w:val="20"/>
        </w:rPr>
        <w:t xml:space="preserve">Aimed at higher average pledge value — a backer who'd have bought two units anyway gets a real reason to do it through the campaign instead of waiting for retail. Refill cartridges included here also seed the first replacement-purchase habit before the backer has even used the product once.</w:t>
      </w:r>
    </w:p>
    <w:p>
      <w:pPr>
        <w:spacing w:after="100" w:before="240"/>
      </w:pPr>
      <w:r>
        <w:rPr>
          <w:rFonts w:ascii="Arial" w:cs="Arial" w:eastAsia="Arial" w:hAnsi="Arial"/>
          <w:b/>
          <w:bCs/>
          <w:color w:val="16232F"/>
          <w:sz w:val="24"/>
          <w:szCs w:val="24"/>
        </w:rPr>
        <w:t xml:space="preserve">Charge Founder Credit</w:t>
      </w:r>
    </w:p>
    <w:p>
      <w:pPr>
        <w:spacing w:after="140"/>
      </w:pPr>
      <w:r>
        <w:rPr>
          <w:rFonts w:ascii="Arial" w:cs="Arial" w:eastAsia="Arial" w:hAnsi="Arial"/>
          <w:color w:val="16232F"/>
          <w:sz w:val="20"/>
          <w:szCs w:val="20"/>
        </w:rPr>
        <w:t xml:space="preserve">The only tier for a product that isn't launching alongside Comfort — Charge is a Year 1–2 product per the roadmap, not a Month 5–7 one. This is a pre-order credit, not a near-term reward, and it should be labelled as such explicitly on the campaign page: later estimated delivery, more schedule risk than the Comfort tiers, and — if used — a stated refund policy if Charge doesn't ship by a fixed outside date. Capped at 200 to limit how large a future obligation the campaign takes on before Charge tooling even exists.</w:t>
      </w:r>
    </w:p>
    <w:p>
      <w:pPr>
        <w:pStyle w:val="Heading1"/>
        <w:pBdr>
          <w:bottom w:val="single" w:color="1A6B8A" w:sz="6"/>
        </w:pBdr>
        <w:spacing w:after="160" w:before="380"/>
      </w:pPr>
      <w:r>
        <w:rPr>
          <w:rFonts w:ascii="Arial" w:cs="Arial" w:eastAsia="Arial" w:hAnsi="Arial"/>
          <w:b/>
          <w:bCs/>
          <w:color w:val="124B61"/>
          <w:sz w:val="30"/>
          <w:szCs w:val="30"/>
        </w:rPr>
        <w:t xml:space="preserve">3. Estimated delivery</w:t>
      </w:r>
    </w:p>
    <w:p>
      <w:pPr>
        <w:spacing w:after="140"/>
      </w:pPr>
      <w:r>
        <w:rPr>
          <w:rFonts w:ascii="Arial" w:cs="Arial" w:eastAsia="Arial" w:hAnsi="Arial"/>
          <w:color w:val="16232F"/>
          <w:sz w:val="20"/>
          <w:szCs w:val="20"/>
        </w:rPr>
        <w:t xml:space="preserve">Comfort tiers: target 3–4 months after campaign close, aimed at the Month 5–7 launch window in the roadmap. Charge Founder Credit: aligned to the Year 1–2 Charge launch window — materially later, and should be presented to backers as a separate risk tier, not folded into the same delivery message as the Comfort rewards.</w:t>
      </w:r>
    </w:p>
    <w:p>
      <w:pPr>
        <w:pStyle w:val="ListParagraph"/>
        <w:numPr>
          <w:ilvl w:val="0"/>
          <w:numId w:val="1"/>
        </w:numPr>
        <w:spacing w:after="60"/>
      </w:pPr>
      <w:r>
        <w:rPr>
          <w:rFonts w:ascii="Arial" w:cs="Arial" w:eastAsia="Arial" w:hAnsi="Arial"/>
          <w:color w:val="16232F"/>
          <w:sz w:val="20"/>
          <w:szCs w:val="20"/>
        </w:rPr>
        <w:t xml:space="preserve">Confirm exact calendar delivery dates once the campaign launch date itself is set — the ranges above are relative to the roadmap, not fixed dates.</w:t>
      </w:r>
    </w:p>
    <w:p>
      <w:pPr>
        <w:pStyle w:val="ListParagraph"/>
        <w:numPr>
          <w:ilvl w:val="0"/>
          <w:numId w:val="1"/>
        </w:numPr>
        <w:spacing w:after="60"/>
      </w:pPr>
      <w:r>
        <w:rPr>
          <w:rFonts w:ascii="Arial" w:cs="Arial" w:eastAsia="Arial" w:hAnsi="Arial"/>
          <w:color w:val="16232F"/>
          <w:sz w:val="20"/>
          <w:szCs w:val="20"/>
        </w:rPr>
        <w:t xml:space="preserve">State Kickstarter's standard delivery-estimate disclaimer language on the campaign page; don't present any date here as a guarantee.</w:t>
      </w:r>
    </w:p>
    <w:p>
      <w:pPr>
        <w:pStyle w:val="Heading1"/>
        <w:pBdr>
          <w:bottom w:val="single" w:color="1A6B8A" w:sz="6"/>
        </w:pBdr>
        <w:spacing w:after="160" w:before="380"/>
      </w:pPr>
      <w:r>
        <w:rPr>
          <w:rFonts w:ascii="Arial" w:cs="Arial" w:eastAsia="Arial" w:hAnsi="Arial"/>
          <w:b/>
          <w:bCs/>
          <w:color w:val="124B61"/>
          <w:sz w:val="30"/>
          <w:szCs w:val="30"/>
        </w:rPr>
        <w:t xml:space="preserve">4. Open items before publishing</w:t>
      </w:r>
    </w:p>
    <w:p>
      <w:pPr>
        <w:pStyle w:val="ListParagraph"/>
        <w:numPr>
          <w:ilvl w:val="0"/>
          <w:numId w:val="1"/>
        </w:numPr>
        <w:spacing w:after="60"/>
      </w:pPr>
      <w:r>
        <w:rPr>
          <w:rFonts w:ascii="Arial" w:cs="Arial" w:eastAsia="Arial" w:hAnsi="Arial"/>
          <w:color w:val="16232F"/>
          <w:sz w:val="20"/>
          <w:szCs w:val="20"/>
        </w:rPr>
        <w:t xml:space="preserve">Confirm Comfort COGS against a real factory quote — current €11–15 range is not yet locked (see Comfort Factory Spec).</w:t>
      </w:r>
    </w:p>
    <w:p>
      <w:pPr>
        <w:pStyle w:val="ListParagraph"/>
        <w:numPr>
          <w:ilvl w:val="0"/>
          <w:numId w:val="1"/>
        </w:numPr>
        <w:spacing w:after="60"/>
      </w:pPr>
      <w:r>
        <w:rPr>
          <w:rFonts w:ascii="Arial" w:cs="Arial" w:eastAsia="Arial" w:hAnsi="Arial"/>
          <w:color w:val="16232F"/>
          <w:sz w:val="20"/>
          <w:szCs w:val="20"/>
        </w:rPr>
        <w:t xml:space="preserve">Decide the Charge Founder Credit refund policy and put it in writing on the campaign page before accepting a single pledge at that tier.</w:t>
      </w:r>
    </w:p>
    <w:p>
      <w:pPr>
        <w:pStyle w:val="ListParagraph"/>
        <w:numPr>
          <w:ilvl w:val="0"/>
          <w:numId w:val="1"/>
        </w:numPr>
        <w:spacing w:after="60"/>
      </w:pPr>
      <w:r>
        <w:rPr>
          <w:rFonts w:ascii="Arial" w:cs="Arial" w:eastAsia="Arial" w:hAnsi="Arial"/>
          <w:color w:val="16232F"/>
          <w:sz w:val="20"/>
          <w:szCs w:val="20"/>
        </w:rPr>
        <w:t xml:space="preserve">Set a firm campaign funding goal — not covered here; pair this tier structure with the unit economics in the Financial Model to size it.</w:t>
      </w:r>
    </w:p>
    <w:p>
      <w:pPr>
        <w:pStyle w:val="ListParagraph"/>
        <w:numPr>
          <w:ilvl w:val="0"/>
          <w:numId w:val="1"/>
        </w:numPr>
        <w:spacing w:after="60"/>
      </w:pPr>
      <w:r>
        <w:rPr>
          <w:rFonts w:ascii="Arial" w:cs="Arial" w:eastAsia="Arial" w:hAnsi="Arial"/>
          <w:color w:val="16232F"/>
          <w:sz w:val="20"/>
          <w:szCs w:val="20"/>
        </w:rPr>
        <w:t xml:space="preserve">EU/UK shipping cost per tier isn't priced in above — add it as a shipping-destination selector on the live campaign, not baked into the pledge amounts.</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Kickstarter Tiers  |  July 2026  |  Warm the person. Not the room.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CFE0E6"/>
              <w:sz w:val="18"/>
              <w:szCs w:val="18"/>
            </w:rPr>
            <w:t xml:space="preserve">   Kickstarter Tiers — Comfort Launch</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2026-07-25T16:44:08.121Z</dcterms:created>
  <dcterms:modified xsi:type="dcterms:W3CDTF">2026-07-25T16:44:08.136Z</dcterms:modified>
</cp:coreProperties>
</file>

<file path=docProps/custom.xml><?xml version="1.0" encoding="utf-8"?>
<Properties xmlns="http://schemas.openxmlformats.org/officeDocument/2006/custom-properties" xmlns:vt="http://schemas.openxmlformats.org/officeDocument/2006/docPropsVTypes"/>
</file>