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E5395"/>
          <w:sz w:val="44"/>
          <w:szCs w:val="44"/>
        </w:rPr>
        <w:t xml:space="preserve">Forex Trading Basics for Beginners</w:t>
      </w:r>
    </w:p>
    <w:p>
      <w:pPr>
        <w:spacing w:after="400"/>
      </w:pPr>
      <w:r>
        <w:rPr>
          <w:rFonts w:ascii="Calibri" w:cs="Calibri" w:eastAsia="Calibri" w:hAnsi="Calibri"/>
          <w:i/>
          <w:iCs/>
          <w:color w:val="555555"/>
          <w:sz w:val="24"/>
          <w:szCs w:val="24"/>
        </w:rPr>
        <w:t xml:space="preserve">An original beginner's guide to how the foreign exchange market works</w:t>
      </w:r>
    </w:p>
    <w:p>
      <w:pPr>
        <w:pStyle w:val="Heading1"/>
        <w:spacing w:after="200" w:before="400"/>
      </w:pPr>
      <w:r>
        <w:t xml:space="preserve">Introduction</w:t>
      </w:r>
    </w:p>
    <w:p>
      <w:pPr>
        <w:spacing w:after="160"/>
      </w:pPr>
      <w:r>
        <w:rPr>
          <w:rFonts w:ascii="Calibri" w:cs="Calibri" w:eastAsia="Calibri" w:hAnsi="Calibri"/>
          <w:sz w:val="22"/>
          <w:szCs w:val="22"/>
        </w:rPr>
        <w:t xml:space="preserve">The foreign exchange market — forex, or FX — is where one country's currency is exchanged for another. It's the largest financial market in the world by trading volume, operating nearly 24 hours a day across time zones as banks, companies, governments, and individual traders exchange currencies for trade, investment, travel, and speculation.</w:t>
      </w:r>
    </w:p>
    <w:p>
      <w:pPr>
        <w:spacing w:after="160"/>
      </w:pPr>
      <w:r>
        <w:rPr>
          <w:rFonts w:ascii="Calibri" w:cs="Calibri" w:eastAsia="Calibri" w:hAnsi="Calibri"/>
          <w:sz w:val="22"/>
          <w:szCs w:val="22"/>
        </w:rPr>
        <w:t xml:space="preserve">This guide walks through the fundamentals a beginner needs before placing a first trade: how the market is structured, how currency pairs are quoted, the mechanics of leverage and position sizing, order types, chart basics, and — most importantly — risk management. It closes with a look at common beginner mistakes and things worth understanding before committing real money.</w:t>
      </w:r>
    </w:p>
    <w:p>
      <w:pPr>
        <w:pBdr>
          <w:left w:val="single" w:color="2E5395" w:sz="12" w:space="8"/>
        </w:pBdr>
        <w:spacing w:after="200" w:before="100"/>
        <w:ind w:left="200"/>
      </w:pPr>
      <w:r>
        <w:rPr>
          <w:rFonts w:ascii="Calibri" w:cs="Calibri" w:eastAsia="Calibri" w:hAnsi="Calibri"/>
          <w:i/>
          <w:iCs/>
          <w:color w:val="555555"/>
          <w:sz w:val="22"/>
          <w:szCs w:val="22"/>
        </w:rPr>
        <w:t xml:space="preserve">This is educational material, not investment advice. Trading forex carries real risk of loss, and leverage in particular can multiply losses as easily as gains.</w:t>
      </w:r>
    </w:p>
    <w:p>
      <w:pPr>
        <w:pStyle w:val="Heading1"/>
        <w:spacing w:after="200" w:before="400"/>
      </w:pPr>
      <w:r>
        <w:t xml:space="preserve">Chapter 1: What the Forex Market Actually Is</w:t>
      </w:r>
    </w:p>
    <w:p>
      <w:pPr>
        <w:spacing w:after="160"/>
      </w:pPr>
      <w:r>
        <w:rPr>
          <w:rFonts w:ascii="Calibri" w:cs="Calibri" w:eastAsia="Calibri" w:hAnsi="Calibri"/>
          <w:sz w:val="22"/>
          <w:szCs w:val="22"/>
        </w:rPr>
        <w:t xml:space="preserve">Unlike a stock exchange, forex has no single physical location or central exchange. It's a decentralized, over-the-counter (OTC) network of banks, brokers, and electronic trading platforms connected globally. Trading happens continuously from Monday morning in Asia through Friday evening in New York, as one regional session hands off to the next.</w:t>
      </w:r>
    </w:p>
    <w:p>
      <w:pPr>
        <w:spacing w:after="160"/>
      </w:pPr>
      <w:r>
        <w:rPr>
          <w:rFonts w:ascii="Calibri" w:cs="Calibri" w:eastAsia="Calibri" w:hAnsi="Calibri"/>
          <w:sz w:val="22"/>
          <w:szCs w:val="22"/>
        </w:rPr>
        <w:t xml:space="preserve">Participants fall into a few broad categories:</w:t>
      </w:r>
    </w:p>
    <w:p>
      <w:pPr>
        <w:pStyle w:val="ListParagraph"/>
        <w:numPr>
          <w:ilvl w:val="0"/>
          <w:numId w:val="2"/>
        </w:numPr>
        <w:spacing w:after="80"/>
      </w:pPr>
      <w:r>
        <w:rPr>
          <w:rFonts w:ascii="Calibri" w:cs="Calibri" w:eastAsia="Calibri" w:hAnsi="Calibri"/>
          <w:sz w:val="22"/>
          <w:szCs w:val="22"/>
        </w:rPr>
        <w:t xml:space="preserve">Central banks and governments, managing currency reserves and monetary policy</w:t>
      </w:r>
    </w:p>
    <w:p>
      <w:pPr>
        <w:pStyle w:val="ListParagraph"/>
        <w:numPr>
          <w:ilvl w:val="0"/>
          <w:numId w:val="2"/>
        </w:numPr>
        <w:spacing w:after="80"/>
      </w:pPr>
      <w:r>
        <w:rPr>
          <w:rFonts w:ascii="Calibri" w:cs="Calibri" w:eastAsia="Calibri" w:hAnsi="Calibri"/>
          <w:sz w:val="22"/>
          <w:szCs w:val="22"/>
        </w:rPr>
        <w:t xml:space="preserve">Commercial and investment banks, trading on behalf of clients and themselves</w:t>
      </w:r>
    </w:p>
    <w:p>
      <w:pPr>
        <w:pStyle w:val="ListParagraph"/>
        <w:numPr>
          <w:ilvl w:val="0"/>
          <w:numId w:val="2"/>
        </w:numPr>
        <w:spacing w:after="80"/>
      </w:pPr>
      <w:r>
        <w:rPr>
          <w:rFonts w:ascii="Calibri" w:cs="Calibri" w:eastAsia="Calibri" w:hAnsi="Calibri"/>
          <w:sz w:val="22"/>
          <w:szCs w:val="22"/>
        </w:rPr>
        <w:t xml:space="preserve">Multinational corporations, hedging revenue earned in foreign currencies</w:t>
      </w:r>
    </w:p>
    <w:p>
      <w:pPr>
        <w:pStyle w:val="ListParagraph"/>
        <w:numPr>
          <w:ilvl w:val="0"/>
          <w:numId w:val="2"/>
        </w:numPr>
        <w:spacing w:after="80"/>
      </w:pPr>
      <w:r>
        <w:rPr>
          <w:rFonts w:ascii="Calibri" w:cs="Calibri" w:eastAsia="Calibri" w:hAnsi="Calibri"/>
          <w:sz w:val="22"/>
          <w:szCs w:val="22"/>
        </w:rPr>
        <w:t xml:space="preserve">Hedge funds and institutional investors, speculating on currency moves</w:t>
      </w:r>
    </w:p>
    <w:p>
      <w:pPr>
        <w:pStyle w:val="ListParagraph"/>
        <w:numPr>
          <w:ilvl w:val="0"/>
          <w:numId w:val="2"/>
        </w:numPr>
        <w:spacing w:after="80"/>
      </w:pPr>
      <w:r>
        <w:rPr>
          <w:rFonts w:ascii="Calibri" w:cs="Calibri" w:eastAsia="Calibri" w:hAnsi="Calibri"/>
          <w:sz w:val="22"/>
          <w:szCs w:val="22"/>
        </w:rPr>
        <w:t xml:space="preserve">Retail traders, individuals trading through online brokers</w:t>
      </w:r>
    </w:p>
    <w:p>
      <w:pPr>
        <w:spacing w:after="160"/>
      </w:pPr>
      <w:r>
        <w:rPr>
          <w:rFonts w:ascii="Calibri" w:cs="Calibri" w:eastAsia="Calibri" w:hAnsi="Calibri"/>
          <w:sz w:val="22"/>
          <w:szCs w:val="22"/>
        </w:rPr>
        <w:t xml:space="preserve">Because so many large, well-informed participants are active at once, forex is generally a highly liquid market — meaning trades execute quickly and prices reflect available information efficiently, though this varies by currency pair and time of day.</w:t>
      </w:r>
    </w:p>
    <w:p>
      <w:pPr>
        <w:pStyle w:val="Heading1"/>
        <w:spacing w:after="200" w:before="400"/>
      </w:pPr>
      <w:r>
        <w:t xml:space="preserve">Chapter 2: Currency Pairs and Quotes</w:t>
      </w:r>
    </w:p>
    <w:p>
      <w:pPr>
        <w:spacing w:after="160"/>
      </w:pPr>
      <w:r>
        <w:rPr>
          <w:rFonts w:ascii="Calibri" w:cs="Calibri" w:eastAsia="Calibri" w:hAnsi="Calibri"/>
          <w:sz w:val="22"/>
          <w:szCs w:val="22"/>
        </w:rPr>
        <w:t xml:space="preserve">Currencies are always traded in pairs, because you're simultaneously buying one and selling another. A quote like EUR/USD = 1.0850 means one euro buys 1.0850 US dollars. The first currency listed (EUR) is the base currency; the second (USD) is the quote currency.</w:t>
      </w:r>
    </w:p>
    <w:p>
      <w:pPr>
        <w:spacing w:after="160"/>
      </w:pPr>
      <w:r>
        <w:rPr>
          <w:rFonts w:ascii="Calibri" w:cs="Calibri" w:eastAsia="Calibri" w:hAnsi="Calibri"/>
          <w:sz w:val="22"/>
          <w:szCs w:val="22"/>
        </w:rPr>
        <w:t xml:space="preserve">Pairs are grouped by how frequently they trade:</w:t>
      </w:r>
    </w:p>
    <w:p>
      <w:pPr>
        <w:pStyle w:val="ListParagraph"/>
        <w:numPr>
          <w:ilvl w:val="0"/>
          <w:numId w:val="2"/>
        </w:numPr>
        <w:spacing w:after="80"/>
      </w:pPr>
      <w:r>
        <w:rPr>
          <w:rFonts w:ascii="Calibri" w:cs="Calibri" w:eastAsia="Calibri" w:hAnsi="Calibri"/>
          <w:sz w:val="22"/>
          <w:szCs w:val="22"/>
        </w:rPr>
        <w:t xml:space="preserve">Majors — pairs involving the US dollar and another heavily traded currency, such as EUR/USD, USD/JPY, GBP/USD, and USD/CHF. These typically have the tightest spreads and highest liquidity.</w:t>
      </w:r>
    </w:p>
    <w:p>
      <w:pPr>
        <w:pStyle w:val="ListParagraph"/>
        <w:numPr>
          <w:ilvl w:val="0"/>
          <w:numId w:val="2"/>
        </w:numPr>
        <w:spacing w:after="80"/>
      </w:pPr>
      <w:r>
        <w:rPr>
          <w:rFonts w:ascii="Calibri" w:cs="Calibri" w:eastAsia="Calibri" w:hAnsi="Calibri"/>
          <w:sz w:val="22"/>
          <w:szCs w:val="22"/>
        </w:rPr>
        <w:t xml:space="preserve">Minors (or crosses) — pairs between two major currencies that exclude the US dollar, such as EUR/GBP or AUD/JPY.</w:t>
      </w:r>
    </w:p>
    <w:p>
      <w:pPr>
        <w:pStyle w:val="ListParagraph"/>
        <w:numPr>
          <w:ilvl w:val="0"/>
          <w:numId w:val="2"/>
        </w:numPr>
        <w:spacing w:after="80"/>
      </w:pPr>
      <w:r>
        <w:rPr>
          <w:rFonts w:ascii="Calibri" w:cs="Calibri" w:eastAsia="Calibri" w:hAnsi="Calibri"/>
          <w:sz w:val="22"/>
          <w:szCs w:val="22"/>
        </w:rPr>
        <w:t xml:space="preserve">Exotics — a major currency paired with the currency of a smaller or emerging economy, such as USD/TRY or EUR/ZAR. These tend to have wider spreads and thinner liquidity.</w:t>
      </w:r>
    </w:p>
    <w:p>
      <w:pPr>
        <w:spacing w:after="160"/>
      </w:pPr>
      <w:r>
        <w:rPr>
          <w:rFonts w:ascii="Calibri" w:cs="Calibri" w:eastAsia="Calibri" w:hAnsi="Calibri"/>
          <w:sz w:val="22"/>
          <w:szCs w:val="22"/>
        </w:rPr>
        <w:t xml:space="preserve">Two prices are shown for any pair: the bid (what a buyer will pay to buy from you) and the ask or offer (what a seller will accept to sell to you). The difference between them is the spread, and it's effectively the cost of entering and exiting a trade.</w:t>
      </w:r>
    </w:p>
    <w:p>
      <w:pPr>
        <w:pStyle w:val="Heading1"/>
        <w:spacing w:after="200" w:before="400"/>
      </w:pPr>
      <w:r>
        <w:t xml:space="preserve">Chapter 3: Pips, Lots, and Position Size</w:t>
      </w:r>
    </w:p>
    <w:p>
      <w:pPr>
        <w:spacing w:after="160"/>
      </w:pPr>
      <w:r>
        <w:rPr>
          <w:rFonts w:ascii="Calibri" w:cs="Calibri" w:eastAsia="Calibri" w:hAnsi="Calibri"/>
          <w:sz w:val="22"/>
          <w:szCs w:val="22"/>
        </w:rPr>
        <w:t xml:space="preserve">A pip ("percentage in point") is the standard unit for measuring a price move in most currency pairs — typically the fourth decimal place (0.0001) for pairs quoted to four decimals, or the second decimal place for pairs involving the Japanese yen. If EUR/USD moves from 1.0850 to 1.0855, that's a 5-pip move.</w:t>
      </w:r>
    </w:p>
    <w:p>
      <w:pPr>
        <w:spacing w:after="160"/>
      </w:pPr>
      <w:r>
        <w:rPr>
          <w:rFonts w:ascii="Calibri" w:cs="Calibri" w:eastAsia="Calibri" w:hAnsi="Calibri"/>
          <w:sz w:val="22"/>
          <w:szCs w:val="22"/>
        </w:rPr>
        <w:t xml:space="preserve">Trade size is measured in lots: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200"/>
      </w:tblGrid>
      <w:tr>
        <w:trPr>
          <w:tblHeader/>
        </w:trPr>
        <w:tc>
          <w:tcPr>
            <w:tcW w:type="dxa" w:w="3000"/>
            <w:shd w:fill="2E5395" w:val="clear"/>
          </w:tcPr>
          <w:p>
            <w:r>
              <w:rPr>
                <w:rFonts w:ascii="Calibri" w:cs="Calibri" w:eastAsia="Calibri" w:hAnsi="Calibri"/>
                <w:b/>
                <w:bCs/>
                <w:color w:val="FFFFFF"/>
                <w:sz w:val="20"/>
                <w:szCs w:val="20"/>
              </w:rPr>
              <w:t xml:space="preserve">Lot Size</w:t>
            </w:r>
          </w:p>
        </w:tc>
        <w:tc>
          <w:tcPr>
            <w:tcW w:type="dxa" w:w="3500"/>
            <w:shd w:fill="2E5395" w:val="clear"/>
          </w:tcPr>
          <w:p>
            <w:r>
              <w:rPr>
                <w:rFonts w:ascii="Calibri" w:cs="Calibri" w:eastAsia="Calibri" w:hAnsi="Calibri"/>
                <w:b/>
                <w:bCs/>
                <w:color w:val="FFFFFF"/>
                <w:sz w:val="20"/>
                <w:szCs w:val="20"/>
              </w:rPr>
              <w:t xml:space="preserve">Units of Base Currency</w:t>
            </w:r>
          </w:p>
        </w:tc>
        <w:tc>
          <w:tcPr>
            <w:tcW w:type="dxa" w:w="3200"/>
            <w:shd w:fill="2E5395" w:val="clear"/>
          </w:tcPr>
          <w:p>
            <w:r>
              <w:rPr>
                <w:rFonts w:ascii="Calibri" w:cs="Calibri" w:eastAsia="Calibri" w:hAnsi="Calibri"/>
                <w:b/>
                <w:bCs/>
                <w:color w:val="FFFFFF"/>
                <w:sz w:val="20"/>
                <w:szCs w:val="20"/>
              </w:rPr>
              <w:t xml:space="preserve">Approx. Value per Pip (EUR/USD)</w:t>
            </w:r>
          </w:p>
        </w:tc>
      </w:tr>
      <w:tr>
        <w:tc>
          <w:tcPr>
            <w:tcW w:type="dxa" w:w="3000"/>
          </w:tcPr>
          <w:p>
            <w:r>
              <w:rPr>
                <w:rFonts w:ascii="Calibri" w:cs="Calibri" w:eastAsia="Calibri" w:hAnsi="Calibri"/>
                <w:sz w:val="20"/>
                <w:szCs w:val="20"/>
              </w:rPr>
              <w:t xml:space="preserve">Standard lot</w:t>
            </w:r>
          </w:p>
        </w:tc>
        <w:tc>
          <w:tcPr>
            <w:tcW w:type="dxa" w:w="3500"/>
          </w:tcPr>
          <w:p>
            <w:r>
              <w:rPr>
                <w:rFonts w:ascii="Calibri" w:cs="Calibri" w:eastAsia="Calibri" w:hAnsi="Calibri"/>
                <w:sz w:val="20"/>
                <w:szCs w:val="20"/>
              </w:rPr>
              <w:t xml:space="preserve">100,000</w:t>
            </w:r>
          </w:p>
        </w:tc>
        <w:tc>
          <w:tcPr>
            <w:tcW w:type="dxa" w:w="3200"/>
          </w:tcPr>
          <w:p>
            <w:r>
              <w:rPr>
                <w:rFonts w:ascii="Calibri" w:cs="Calibri" w:eastAsia="Calibri" w:hAnsi="Calibri"/>
                <w:sz w:val="20"/>
                <w:szCs w:val="20"/>
              </w:rPr>
              <w:t xml:space="preserve">≈ $10</w:t>
            </w:r>
          </w:p>
        </w:tc>
      </w:tr>
      <w:tr>
        <w:tc>
          <w:tcPr>
            <w:tcW w:type="dxa" w:w="3000"/>
          </w:tcPr>
          <w:p>
            <w:r>
              <w:rPr>
                <w:rFonts w:ascii="Calibri" w:cs="Calibri" w:eastAsia="Calibri" w:hAnsi="Calibri"/>
                <w:sz w:val="20"/>
                <w:szCs w:val="20"/>
              </w:rPr>
              <w:t xml:space="preserve">Mini lot</w:t>
            </w:r>
          </w:p>
        </w:tc>
        <w:tc>
          <w:tcPr>
            <w:tcW w:type="dxa" w:w="3500"/>
          </w:tcPr>
          <w:p>
            <w:r>
              <w:rPr>
                <w:rFonts w:ascii="Calibri" w:cs="Calibri" w:eastAsia="Calibri" w:hAnsi="Calibri"/>
                <w:sz w:val="20"/>
                <w:szCs w:val="20"/>
              </w:rPr>
              <w:t xml:space="preserve">10,000</w:t>
            </w:r>
          </w:p>
        </w:tc>
        <w:tc>
          <w:tcPr>
            <w:tcW w:type="dxa" w:w="3200"/>
          </w:tcPr>
          <w:p>
            <w:r>
              <w:rPr>
                <w:rFonts w:ascii="Calibri" w:cs="Calibri" w:eastAsia="Calibri" w:hAnsi="Calibri"/>
                <w:sz w:val="20"/>
                <w:szCs w:val="20"/>
              </w:rPr>
              <w:t xml:space="preserve">≈ $1</w:t>
            </w:r>
          </w:p>
        </w:tc>
      </w:tr>
      <w:tr>
        <w:tc>
          <w:tcPr>
            <w:tcW w:type="dxa" w:w="3000"/>
          </w:tcPr>
          <w:p>
            <w:r>
              <w:rPr>
                <w:rFonts w:ascii="Calibri" w:cs="Calibri" w:eastAsia="Calibri" w:hAnsi="Calibri"/>
                <w:sz w:val="20"/>
                <w:szCs w:val="20"/>
              </w:rPr>
              <w:t xml:space="preserve">Micro lot</w:t>
            </w:r>
          </w:p>
        </w:tc>
        <w:tc>
          <w:tcPr>
            <w:tcW w:type="dxa" w:w="3500"/>
          </w:tcPr>
          <w:p>
            <w:r>
              <w:rPr>
                <w:rFonts w:ascii="Calibri" w:cs="Calibri" w:eastAsia="Calibri" w:hAnsi="Calibri"/>
                <w:sz w:val="20"/>
                <w:szCs w:val="20"/>
              </w:rPr>
              <w:t xml:space="preserve">1,000</w:t>
            </w:r>
          </w:p>
        </w:tc>
        <w:tc>
          <w:tcPr>
            <w:tcW w:type="dxa" w:w="3200"/>
          </w:tcPr>
          <w:p>
            <w:r>
              <w:rPr>
                <w:rFonts w:ascii="Calibri" w:cs="Calibri" w:eastAsia="Calibri" w:hAnsi="Calibri"/>
                <w:sz w:val="20"/>
                <w:szCs w:val="20"/>
              </w:rPr>
              <w:t xml:space="preserve">≈ $0.10</w:t>
            </w:r>
          </w:p>
        </w:tc>
      </w:tr>
    </w:tbl>
    <w:p>
      <w:pPr>
        <w:spacing w:after="160"/>
      </w:pPr>
      <w:r>
        <w:rPr>
          <w:rFonts w:ascii="Calibri" w:cs="Calibri" w:eastAsia="Calibri" w:hAnsi="Calibri"/>
          <w:sz w:val="22"/>
          <w:szCs w:val="22"/>
        </w:rPr>
        <w:t xml:space="preserve">Choosing a lot size that matches your account size is one of the most important — and most commonly ignored — decisions a beginner makes. Trading standard lots on a small account is a common way new traders take on far more risk than they realize.</w:t>
      </w:r>
    </w:p>
    <w:p>
      <w:pPr>
        <w:pStyle w:val="Heading1"/>
        <w:spacing w:after="200" w:before="400"/>
      </w:pPr>
      <w:r>
        <w:t xml:space="preserve">Chapter 4: Leverage and Margin</w:t>
      </w:r>
    </w:p>
    <w:p>
      <w:pPr>
        <w:spacing w:after="160"/>
      </w:pPr>
      <w:r>
        <w:rPr>
          <w:rFonts w:ascii="Calibri" w:cs="Calibri" w:eastAsia="Calibri" w:hAnsi="Calibri"/>
          <w:sz w:val="22"/>
          <w:szCs w:val="22"/>
        </w:rPr>
        <w:t xml:space="preserve">Forex brokers typically allow trading on leverage, meaning you control a much larger position than the cash in your account. A broker offering 50:1 leverage lets you control $50,000 of currency exposure with $1,000 of margin (your own capital held as collateral).</w:t>
      </w:r>
    </w:p>
    <w:p>
      <w:pPr>
        <w:spacing w:after="160"/>
      </w:pPr>
      <w:r>
        <w:rPr>
          <w:rFonts w:ascii="Calibri" w:cs="Calibri" w:eastAsia="Calibri" w:hAnsi="Calibri"/>
          <w:sz w:val="22"/>
          <w:szCs w:val="22"/>
        </w:rPr>
        <w:t xml:space="preserve">Leverage magnifies both gains and losses in equal proportion. A 2% adverse move against a fully leveraged 50:1 position wipes out the entire margin deposited for that trade. Regulators in many jurisdictions cap the leverage available to retail traders specifically because of this risk — for instance, both the EU and UK limit retail forex leverage on major pairs to 30:1.</w:t>
      </w:r>
    </w:p>
    <w:p>
      <w:pPr>
        <w:pBdr>
          <w:left w:val="single" w:color="2E5395" w:sz="12" w:space="8"/>
        </w:pBdr>
        <w:spacing w:after="200" w:before="100"/>
        <w:ind w:left="200"/>
      </w:pPr>
      <w:r>
        <w:rPr>
          <w:rFonts w:ascii="Calibri" w:cs="Calibri" w:eastAsia="Calibri" w:hAnsi="Calibri"/>
          <w:i/>
          <w:iCs/>
          <w:color w:val="555555"/>
          <w:sz w:val="22"/>
          <w:szCs w:val="22"/>
        </w:rPr>
        <w:t xml:space="preserve">A simple rule many experienced traders follow: never risk more than 1–2% of total account capital on a single trade, regardless of how much leverage is technically available.</w:t>
      </w:r>
    </w:p>
    <w:p>
      <w:pPr>
        <w:pStyle w:val="Heading1"/>
        <w:spacing w:after="200" w:before="400"/>
      </w:pPr>
      <w:r>
        <w:t xml:space="preserve">Chapter 5: How to Read a Forex Chart</w:t>
      </w:r>
    </w:p>
    <w:p>
      <w:pPr>
        <w:spacing w:after="160"/>
      </w:pPr>
      <w:r>
        <w:rPr>
          <w:rFonts w:ascii="Calibri" w:cs="Calibri" w:eastAsia="Calibri" w:hAnsi="Calibri"/>
          <w:sz w:val="22"/>
          <w:szCs w:val="22"/>
        </w:rPr>
        <w:t xml:space="preserve">Most trading platforms display price using candlestick charts. Each candlestick represents price movement over a chosen time period (a minute, an hour, a day) and shows four data points: the open, high, low, and close price for that period.</w:t>
      </w:r>
    </w:p>
    <w:p>
      <w:pPr>
        <w:pStyle w:val="ListParagraph"/>
        <w:numPr>
          <w:ilvl w:val="0"/>
          <w:numId w:val="2"/>
        </w:numPr>
        <w:spacing w:after="80"/>
      </w:pPr>
      <w:r>
        <w:rPr>
          <w:rFonts w:ascii="Calibri" w:cs="Calibri" w:eastAsia="Calibri" w:hAnsi="Calibri"/>
          <w:sz w:val="22"/>
          <w:szCs w:val="22"/>
        </w:rPr>
        <w:t xml:space="preserve">A filled or colored body shows the range between open and close.</w:t>
      </w:r>
    </w:p>
    <w:p>
      <w:pPr>
        <w:pStyle w:val="ListParagraph"/>
        <w:numPr>
          <w:ilvl w:val="0"/>
          <w:numId w:val="2"/>
        </w:numPr>
        <w:spacing w:after="80"/>
      </w:pPr>
      <w:r>
        <w:rPr>
          <w:rFonts w:ascii="Calibri" w:cs="Calibri" w:eastAsia="Calibri" w:hAnsi="Calibri"/>
          <w:sz w:val="22"/>
          <w:szCs w:val="22"/>
        </w:rPr>
        <w:t xml:space="preserve">Thin lines above and below the body ("wicks" or "shadows") show the high and low reached during the period.</w:t>
      </w:r>
    </w:p>
    <w:p>
      <w:pPr>
        <w:pStyle w:val="ListParagraph"/>
        <w:numPr>
          <w:ilvl w:val="0"/>
          <w:numId w:val="2"/>
        </w:numPr>
        <w:spacing w:after="80"/>
      </w:pPr>
      <w:r>
        <w:rPr>
          <w:rFonts w:ascii="Calibri" w:cs="Calibri" w:eastAsia="Calibri" w:hAnsi="Calibri"/>
          <w:sz w:val="22"/>
          <w:szCs w:val="22"/>
        </w:rPr>
        <w:t xml:space="preserve">Traditionally, a green or white body means the close was higher than the open; a red or black body means the close was lower.</w:t>
      </w:r>
    </w:p>
    <w:p>
      <w:pPr>
        <w:spacing w:after="160"/>
      </w:pPr>
      <w:r>
        <w:rPr>
          <w:rFonts w:ascii="Calibri" w:cs="Calibri" w:eastAsia="Calibri" w:hAnsi="Calibri"/>
          <w:sz w:val="22"/>
          <w:szCs w:val="22"/>
        </w:rPr>
        <w:t xml:space="preserve">Beginners often start by looking at two things on a chart: trend (is price generally moving up, down, or sideways over time) and support/resistance (price levels where the market has repeatedly reversed or paused in the past). These are simple concepts but form the basis of most technical analysis approaches.</w:t>
      </w:r>
    </w:p>
    <w:p>
      <w:pPr>
        <w:pStyle w:val="Heading1"/>
        <w:spacing w:after="200" w:before="400"/>
      </w:pPr>
      <w:r>
        <w:t xml:space="preserve">Chapter 6: Order Types</w:t>
      </w:r>
    </w:p>
    <w:p>
      <w:pPr>
        <w:spacing w:after="160"/>
      </w:pPr>
      <w:r>
        <w:rPr>
          <w:rFonts w:ascii="Calibri" w:cs="Calibri" w:eastAsia="Calibri" w:hAnsi="Calibri"/>
          <w:sz w:val="22"/>
          <w:szCs w:val="22"/>
        </w:rPr>
        <w:t xml:space="preserve">Orders are the instructions you give a broker to enter or exit a position. The main types every beginner should understand:</w:t>
      </w:r>
    </w:p>
    <w:p>
      <w:pPr>
        <w:pStyle w:val="ListParagraph"/>
        <w:numPr>
          <w:ilvl w:val="0"/>
          <w:numId w:val="2"/>
        </w:numPr>
        <w:spacing w:after="80"/>
      </w:pPr>
      <w:r>
        <w:rPr>
          <w:rFonts w:ascii="Calibri" w:cs="Calibri" w:eastAsia="Calibri" w:hAnsi="Calibri"/>
          <w:sz w:val="22"/>
          <w:szCs w:val="22"/>
        </w:rPr>
        <w:t xml:space="preserve">Market order — buy or sell immediately at the current available price.</w:t>
      </w:r>
    </w:p>
    <w:p>
      <w:pPr>
        <w:pStyle w:val="ListParagraph"/>
        <w:numPr>
          <w:ilvl w:val="0"/>
          <w:numId w:val="2"/>
        </w:numPr>
        <w:spacing w:after="80"/>
      </w:pPr>
      <w:r>
        <w:rPr>
          <w:rFonts w:ascii="Calibri" w:cs="Calibri" w:eastAsia="Calibri" w:hAnsi="Calibri"/>
          <w:sz w:val="22"/>
          <w:szCs w:val="22"/>
        </w:rPr>
        <w:t xml:space="preserve">Limit order — buy or sell only at a specified price or better; used to enter at a target level rather than the current price.</w:t>
      </w:r>
    </w:p>
    <w:p>
      <w:pPr>
        <w:pStyle w:val="ListParagraph"/>
        <w:numPr>
          <w:ilvl w:val="0"/>
          <w:numId w:val="2"/>
        </w:numPr>
        <w:spacing w:after="80"/>
      </w:pPr>
      <w:r>
        <w:rPr>
          <w:rFonts w:ascii="Calibri" w:cs="Calibri" w:eastAsia="Calibri" w:hAnsi="Calibri"/>
          <w:sz w:val="22"/>
          <w:szCs w:val="22"/>
        </w:rPr>
        <w:t xml:space="preserve">Stop-loss order — automatically closes a position at a specified price to cap losses if the market moves against you.</w:t>
      </w:r>
    </w:p>
    <w:p>
      <w:pPr>
        <w:pStyle w:val="ListParagraph"/>
        <w:numPr>
          <w:ilvl w:val="0"/>
          <w:numId w:val="2"/>
        </w:numPr>
        <w:spacing w:after="80"/>
      </w:pPr>
      <w:r>
        <w:rPr>
          <w:rFonts w:ascii="Calibri" w:cs="Calibri" w:eastAsia="Calibri" w:hAnsi="Calibri"/>
          <w:sz w:val="22"/>
          <w:szCs w:val="22"/>
        </w:rPr>
        <w:t xml:space="preserve">Take-profit order — automatically closes a position once it reaches a specified profit target.</w:t>
      </w:r>
    </w:p>
    <w:p>
      <w:pPr>
        <w:spacing w:after="160"/>
      </w:pPr>
      <w:r>
        <w:rPr>
          <w:rFonts w:ascii="Calibri" w:cs="Calibri" w:eastAsia="Calibri" w:hAnsi="Calibri"/>
          <w:sz w:val="22"/>
          <w:szCs w:val="22"/>
        </w:rPr>
        <w:t xml:space="preserve">A stop-loss in particular is not optional risk management — it's the mechanism that prevents a single bad trade from becoming a catastrophic one, especially when leverage is involved.</w:t>
      </w:r>
    </w:p>
    <w:p>
      <w:pPr>
        <w:pStyle w:val="Heading1"/>
        <w:spacing w:after="200" w:before="400"/>
      </w:pPr>
      <w:r>
        <w:t xml:space="preserve">Chapter 7: Fundamental and Technical Analysis</w:t>
      </w:r>
    </w:p>
    <w:p>
      <w:pPr>
        <w:spacing w:after="160"/>
      </w:pPr>
      <w:r>
        <w:rPr>
          <w:rFonts w:ascii="Calibri" w:cs="Calibri" w:eastAsia="Calibri" w:hAnsi="Calibri"/>
          <w:sz w:val="22"/>
          <w:szCs w:val="22"/>
        </w:rPr>
        <w:t xml:space="preserve">Traders generally lean on two broad approaches, often in combination:</w:t>
      </w:r>
    </w:p>
    <w:p>
      <w:pPr>
        <w:pStyle w:val="Heading2"/>
        <w:spacing w:after="150" w:before="300"/>
      </w:pPr>
      <w:r>
        <w:t xml:space="preserve">Fundamental analysis</w:t>
      </w:r>
    </w:p>
    <w:p>
      <w:pPr>
        <w:spacing w:after="160"/>
      </w:pPr>
      <w:r>
        <w:rPr>
          <w:rFonts w:ascii="Calibri" w:cs="Calibri" w:eastAsia="Calibri" w:hAnsi="Calibri"/>
          <w:sz w:val="22"/>
          <w:szCs w:val="22"/>
        </w:rPr>
        <w:t xml:space="preserve">Looks at the economic forces behind currency values: interest rate decisions by central banks, inflation data, employment reports, GDP growth, trade balances, and political stability. Interest rate differentials between two countries are one of the most closely watched fundamental drivers, since capital tends to flow toward currencies offering higher real returns.</w:t>
      </w:r>
    </w:p>
    <w:p>
      <w:pPr>
        <w:pStyle w:val="Heading2"/>
        <w:spacing w:after="150" w:before="300"/>
      </w:pPr>
      <w:r>
        <w:t xml:space="preserve">Technical analysis</w:t>
      </w:r>
    </w:p>
    <w:p>
      <w:pPr>
        <w:spacing w:after="160"/>
      </w:pPr>
      <w:r>
        <w:rPr>
          <w:rFonts w:ascii="Calibri" w:cs="Calibri" w:eastAsia="Calibri" w:hAnsi="Calibri"/>
          <w:sz w:val="22"/>
          <w:szCs w:val="22"/>
        </w:rPr>
        <w:t xml:space="preserve">Studies price charts and trading volume to identify patterns and trends, on the premise that price action reflects all currently available information and tends to repeat in recognizable ways. Common tools include moving averages, trendlines, and momentum indicators such as the Relative Strength Index (RSI).</w:t>
      </w:r>
    </w:p>
    <w:p>
      <w:pPr>
        <w:spacing w:after="160"/>
      </w:pPr>
      <w:r>
        <w:rPr>
          <w:rFonts w:ascii="Calibri" w:cs="Calibri" w:eastAsia="Calibri" w:hAnsi="Calibri"/>
          <w:sz w:val="22"/>
          <w:szCs w:val="22"/>
        </w:rPr>
        <w:t xml:space="preserve">Neither approach guarantees success, and most practitioners treat them as complementary lenses rather than competing systems.</w:t>
      </w:r>
    </w:p>
    <w:p>
      <w:pPr>
        <w:pStyle w:val="Heading1"/>
        <w:spacing w:after="200" w:before="400"/>
      </w:pPr>
      <w:r>
        <w:t xml:space="preserve">Chapter 8: Risk Management — The Part Beginners Skip</w:t>
      </w:r>
    </w:p>
    <w:p>
      <w:pPr>
        <w:spacing w:after="160"/>
      </w:pPr>
      <w:r>
        <w:rPr>
          <w:rFonts w:ascii="Calibri" w:cs="Calibri" w:eastAsia="Calibri" w:hAnsi="Calibri"/>
          <w:sz w:val="22"/>
          <w:szCs w:val="22"/>
        </w:rPr>
        <w:t xml:space="preserve">More beginner trading accounts are damaged by poor risk management than by picking the "wrong" trades. A short list of practices that separate disciplined trading from gambling:</w:t>
      </w:r>
    </w:p>
    <w:p>
      <w:pPr>
        <w:pStyle w:val="ListParagraph"/>
        <w:numPr>
          <w:ilvl w:val="0"/>
          <w:numId w:val="2"/>
        </w:numPr>
        <w:spacing w:after="80"/>
      </w:pPr>
      <w:r>
        <w:rPr>
          <w:rFonts w:ascii="Calibri" w:cs="Calibri" w:eastAsia="Calibri" w:hAnsi="Calibri"/>
          <w:sz w:val="22"/>
          <w:szCs w:val="22"/>
        </w:rPr>
        <w:t xml:space="preserve">Decide your maximum risk per trade (commonly 1–2% of account equity) before entering, not after.</w:t>
      </w:r>
    </w:p>
    <w:p>
      <w:pPr>
        <w:pStyle w:val="ListParagraph"/>
        <w:numPr>
          <w:ilvl w:val="0"/>
          <w:numId w:val="2"/>
        </w:numPr>
        <w:spacing w:after="80"/>
      </w:pPr>
      <w:r>
        <w:rPr>
          <w:rFonts w:ascii="Calibri" w:cs="Calibri" w:eastAsia="Calibri" w:hAnsi="Calibri"/>
          <w:sz w:val="22"/>
          <w:szCs w:val="22"/>
        </w:rPr>
        <w:t xml:space="preserve">Always use a stop-loss, sized to a level that invalidates your trade idea — not an arbitrary dollar amount.</w:t>
      </w:r>
    </w:p>
    <w:p>
      <w:pPr>
        <w:pStyle w:val="ListParagraph"/>
        <w:numPr>
          <w:ilvl w:val="0"/>
          <w:numId w:val="2"/>
        </w:numPr>
        <w:spacing w:after="80"/>
      </w:pPr>
      <w:r>
        <w:rPr>
          <w:rFonts w:ascii="Calibri" w:cs="Calibri" w:eastAsia="Calibri" w:hAnsi="Calibri"/>
          <w:sz w:val="22"/>
          <w:szCs w:val="22"/>
        </w:rPr>
        <w:t xml:space="preserve">Avoid trading position sizes that would be painful to lose; painful losses lead to emotional decisions.</w:t>
      </w:r>
    </w:p>
    <w:p>
      <w:pPr>
        <w:pStyle w:val="ListParagraph"/>
        <w:numPr>
          <w:ilvl w:val="0"/>
          <w:numId w:val="2"/>
        </w:numPr>
        <w:spacing w:after="80"/>
      </w:pPr>
      <w:r>
        <w:rPr>
          <w:rFonts w:ascii="Calibri" w:cs="Calibri" w:eastAsia="Calibri" w:hAnsi="Calibri"/>
          <w:sz w:val="22"/>
          <w:szCs w:val="22"/>
        </w:rPr>
        <w:t xml:space="preserve">Keep a trading journal recording entry/exit reasoning, not just outcomes — the reasoning is what improves over time.</w:t>
      </w:r>
    </w:p>
    <w:p>
      <w:pPr>
        <w:pStyle w:val="ListParagraph"/>
        <w:numPr>
          <w:ilvl w:val="0"/>
          <w:numId w:val="2"/>
        </w:numPr>
        <w:spacing w:after="80"/>
      </w:pPr>
      <w:r>
        <w:rPr>
          <w:rFonts w:ascii="Calibri" w:cs="Calibri" w:eastAsia="Calibri" w:hAnsi="Calibri"/>
          <w:sz w:val="22"/>
          <w:szCs w:val="22"/>
        </w:rPr>
        <w:t xml:space="preserve">Be skeptical of strategies promising consistent high returns with little risk; in a market this liquid and closely watched, they are rare to nonexistent.</w:t>
      </w:r>
    </w:p>
    <w:p>
      <w:pPr>
        <w:pStyle w:val="Heading1"/>
        <w:spacing w:after="200" w:before="400"/>
      </w:pPr>
      <w:r>
        <w:t xml:space="preserve">Chapter 9: Common Beginner Mistakes</w:t>
      </w:r>
    </w:p>
    <w:p>
      <w:pPr>
        <w:pStyle w:val="ListParagraph"/>
        <w:numPr>
          <w:ilvl w:val="0"/>
          <w:numId w:val="2"/>
        </w:numPr>
        <w:spacing w:after="80"/>
      </w:pPr>
      <w:r>
        <w:rPr>
          <w:rFonts w:ascii="Calibri" w:cs="Calibri" w:eastAsia="Calibri" w:hAnsi="Calibri"/>
          <w:sz w:val="22"/>
          <w:szCs w:val="22"/>
        </w:rPr>
        <w:t xml:space="preserve">Over-leveraging — using the maximum leverage a broker offers rather than what the account can safely absorb.</w:t>
      </w:r>
    </w:p>
    <w:p>
      <w:pPr>
        <w:pStyle w:val="ListParagraph"/>
        <w:numPr>
          <w:ilvl w:val="0"/>
          <w:numId w:val="2"/>
        </w:numPr>
        <w:spacing w:after="80"/>
      </w:pPr>
      <w:r>
        <w:rPr>
          <w:rFonts w:ascii="Calibri" w:cs="Calibri" w:eastAsia="Calibri" w:hAnsi="Calibri"/>
          <w:sz w:val="22"/>
          <w:szCs w:val="22"/>
        </w:rPr>
        <w:t xml:space="preserve">Trading without a stop-loss, or moving it further away mid-trade to "give it room."</w:t>
      </w:r>
    </w:p>
    <w:p>
      <w:pPr>
        <w:pStyle w:val="ListParagraph"/>
        <w:numPr>
          <w:ilvl w:val="0"/>
          <w:numId w:val="2"/>
        </w:numPr>
        <w:spacing w:after="80"/>
      </w:pPr>
      <w:r>
        <w:rPr>
          <w:rFonts w:ascii="Calibri" w:cs="Calibri" w:eastAsia="Calibri" w:hAnsi="Calibri"/>
          <w:sz w:val="22"/>
          <w:szCs w:val="22"/>
        </w:rPr>
        <w:t xml:space="preserve">Revenge trading — increasing size or frequency after a loss to win it back quickly.</w:t>
      </w:r>
    </w:p>
    <w:p>
      <w:pPr>
        <w:pStyle w:val="ListParagraph"/>
        <w:numPr>
          <w:ilvl w:val="0"/>
          <w:numId w:val="2"/>
        </w:numPr>
        <w:spacing w:after="80"/>
      </w:pPr>
      <w:r>
        <w:rPr>
          <w:rFonts w:ascii="Calibri" w:cs="Calibri" w:eastAsia="Calibri" w:hAnsi="Calibri"/>
          <w:sz w:val="22"/>
          <w:szCs w:val="22"/>
        </w:rPr>
        <w:t xml:space="preserve">Ignoring the economic calendar — entering trades around major news releases (central bank decisions, employment reports) without accounting for the sharp volatility they cause.</w:t>
      </w:r>
    </w:p>
    <w:p>
      <w:pPr>
        <w:pStyle w:val="ListParagraph"/>
        <w:numPr>
          <w:ilvl w:val="0"/>
          <w:numId w:val="2"/>
        </w:numPr>
        <w:spacing w:after="80"/>
      </w:pPr>
      <w:r>
        <w:rPr>
          <w:rFonts w:ascii="Calibri" w:cs="Calibri" w:eastAsia="Calibri" w:hAnsi="Calibri"/>
          <w:sz w:val="22"/>
          <w:szCs w:val="22"/>
        </w:rPr>
        <w:t xml:space="preserve">Chasing the market — entering after a big move has already happened rather than waiting for a planned setup.</w:t>
      </w:r>
    </w:p>
    <w:p>
      <w:pPr>
        <w:pStyle w:val="ListParagraph"/>
        <w:numPr>
          <w:ilvl w:val="0"/>
          <w:numId w:val="2"/>
        </w:numPr>
        <w:spacing w:after="80"/>
      </w:pPr>
      <w:r>
        <w:rPr>
          <w:rFonts w:ascii="Calibri" w:cs="Calibri" w:eastAsia="Calibri" w:hAnsi="Calibri"/>
          <w:sz w:val="22"/>
          <w:szCs w:val="22"/>
        </w:rPr>
        <w:t xml:space="preserve">Underestimating spreads and costs on frequent small trades, which quietly erode returns.</w:t>
      </w:r>
    </w:p>
    <w:p>
      <w:pPr>
        <w:pStyle w:val="Heading1"/>
        <w:spacing w:after="200" w:before="400"/>
      </w:pPr>
      <w:r>
        <w:t xml:space="preserve">Chapter 10: Getting Started Responsibly</w:t>
      </w:r>
    </w:p>
    <w:p>
      <w:pPr>
        <w:spacing w:after="160"/>
      </w:pPr>
      <w:r>
        <w:rPr>
          <w:rFonts w:ascii="Calibri" w:cs="Calibri" w:eastAsia="Calibri" w:hAnsi="Calibri"/>
          <w:sz w:val="22"/>
          <w:szCs w:val="22"/>
        </w:rPr>
        <w:t xml:space="preserve">For anyone new to forex, a sensible path typically looks like:</w:t>
      </w:r>
    </w:p>
    <w:p>
      <w:pPr>
        <w:pStyle w:val="ListParagraph"/>
        <w:numPr>
          <w:ilvl w:val="0"/>
          <w:numId w:val="2"/>
        </w:numPr>
        <w:spacing w:after="80"/>
      </w:pPr>
      <w:r>
        <w:rPr>
          <w:rFonts w:ascii="Calibri" w:cs="Calibri" w:eastAsia="Calibri" w:hAnsi="Calibri"/>
          <w:sz w:val="22"/>
          <w:szCs w:val="22"/>
        </w:rPr>
        <w:t xml:space="preserve">Learn the mechanics thoroughly before risking any capital.</w:t>
      </w:r>
    </w:p>
    <w:p>
      <w:pPr>
        <w:pStyle w:val="ListParagraph"/>
        <w:numPr>
          <w:ilvl w:val="0"/>
          <w:numId w:val="2"/>
        </w:numPr>
        <w:spacing w:after="80"/>
      </w:pPr>
      <w:r>
        <w:rPr>
          <w:rFonts w:ascii="Calibri" w:cs="Calibri" w:eastAsia="Calibri" w:hAnsi="Calibri"/>
          <w:sz w:val="22"/>
          <w:szCs w:val="22"/>
        </w:rPr>
        <w:t xml:space="preserve">Practice on a demo account with realistic position sizing — not just to learn the platform, but to build habits around risk management.</w:t>
      </w:r>
    </w:p>
    <w:p>
      <w:pPr>
        <w:pStyle w:val="ListParagraph"/>
        <w:numPr>
          <w:ilvl w:val="0"/>
          <w:numId w:val="2"/>
        </w:numPr>
        <w:spacing w:after="80"/>
      </w:pPr>
      <w:r>
        <w:rPr>
          <w:rFonts w:ascii="Calibri" w:cs="Calibri" w:eastAsia="Calibri" w:hAnsi="Calibri"/>
          <w:sz w:val="22"/>
          <w:szCs w:val="22"/>
        </w:rPr>
        <w:t xml:space="preserve">Start live trading with an amount you could fully afford to lose, using minimal leverage.</w:t>
      </w:r>
    </w:p>
    <w:p>
      <w:pPr>
        <w:pStyle w:val="ListParagraph"/>
        <w:numPr>
          <w:ilvl w:val="0"/>
          <w:numId w:val="2"/>
        </w:numPr>
        <w:spacing w:after="80"/>
      </w:pPr>
      <w:r>
        <w:rPr>
          <w:rFonts w:ascii="Calibri" w:cs="Calibri" w:eastAsia="Calibri" w:hAnsi="Calibri"/>
          <w:sz w:val="22"/>
          <w:szCs w:val="22"/>
        </w:rPr>
        <w:t xml:space="preserve">Keep a written trading plan: what pairs you trade, your risk limit per trade, and the conditions under which you'll enter and exit.</w:t>
      </w:r>
    </w:p>
    <w:p>
      <w:pPr>
        <w:pStyle w:val="ListParagraph"/>
        <w:numPr>
          <w:ilvl w:val="0"/>
          <w:numId w:val="2"/>
        </w:numPr>
        <w:spacing w:after="80"/>
      </w:pPr>
      <w:r>
        <w:rPr>
          <w:rFonts w:ascii="Calibri" w:cs="Calibri" w:eastAsia="Calibri" w:hAnsi="Calibri"/>
          <w:sz w:val="22"/>
          <w:szCs w:val="22"/>
        </w:rPr>
        <w:t xml:space="preserve">Review a regulated broker's licensing before depositing funds — regulatory oversight varies significantly by jurisdiction and broker.</w:t>
      </w:r>
    </w:p>
    <w:p>
      <w:pPr>
        <w:pBdr>
          <w:left w:val="single" w:color="2E5395" w:sz="12" w:space="8"/>
        </w:pBdr>
        <w:spacing w:after="200" w:before="100"/>
        <w:ind w:left="200"/>
      </w:pPr>
      <w:r>
        <w:rPr>
          <w:rFonts w:ascii="Calibri" w:cs="Calibri" w:eastAsia="Calibri" w:hAnsi="Calibri"/>
          <w:i/>
          <w:iCs/>
          <w:color w:val="555555"/>
          <w:sz w:val="22"/>
          <w:szCs w:val="22"/>
        </w:rPr>
        <w:t xml:space="preserve">Forex trading is a skill that takes real time to develop, and most new traders lose money while learning it. Treating the learning phase as an expense, not a shortcut to income, is what allows people to stay in the game long enough to actually improve.</w:t>
      </w:r>
    </w:p>
    <w:p>
      <w:pPr>
        <w:spacing w:before="400"/>
        <w:jc w:val="center"/>
      </w:pPr>
      <w:r>
        <w:rPr>
          <w:rFonts w:ascii="Calibri" w:cs="Calibri" w:eastAsia="Calibri" w:hAnsi="Calibri"/>
          <w:i/>
          <w:iCs/>
          <w:color w:val="888888"/>
          <w:sz w:val="20"/>
          <w:szCs w:val="20"/>
        </w:rPr>
        <w:t xml:space="preserve">— End of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2026-07-15T09:38:35.809Z</dcterms:created>
  <dcterms:modified xsi:type="dcterms:W3CDTF">2026-07-15T09:38:35.819Z</dcterms:modified>
</cp:coreProperties>
</file>

<file path=docProps/custom.xml><?xml version="1.0" encoding="utf-8"?>
<Properties xmlns="http://schemas.openxmlformats.org/officeDocument/2006/custom-properties" xmlns:vt="http://schemas.openxmlformats.org/officeDocument/2006/docPropsVTypes"/>
</file>