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Evaluative Analysis of the Captain Seventh QUANT TERMINAL v28.0: A Multi-Disciplinary Review of Quantitative Performance in the Vietnamese Equities Market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Vietnamese financial ecosystem has transitioned into a pivotal era characterized by institutional maturation, technological overhaul, and a rigorous alignment with international capital market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context, the Captain Seventh QUANT TERMINAL v28.0 emerges as a sophisticated, programmatic attempt to synthesize real-time data streaming, fundamental valuation, and stochastic forecasting for a market currently navigating the complexities of the KRX system implementation and the pursuit of FTSE Emerging Market status.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board, representing the apex of academic and professional expertise in Computational Finance, Quantitative Trading, Economics, and Computer Science, has performed an exhaustive audit of the terminal's architecture, underlying mathematical models, and market alignment. The following report details our findings, articulating the precision of the current implementation while proposing systemic adjustments to elevate the platform to a standard commensurate with global institutional requirements.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Data Architecture and Pipeline Integrity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computer science and high-frequency data processing, the reliability of a quantitative platform is inextricably linked to its data ingestion layer. The v28.0 terminal employs a multi-source pipeline involving DNSE for initial scans, SSI for real-time price feeds (SSI-RT), and TCBS for fundamental financial statement data via the tcanalysis API.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tiered approach reflects a nuanced understanding of the Vietnamese data landscape, where discrepancies between data providers are a frequent source of "alpha decay" and erroneous signals.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Ingestion and the KRX Paradigm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 SSI-RT live price feed is a critical strength, particularly as the Vietnamese market moves toward shorter settlement cycles and increased throughput enabled by the KRX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Our analysis of the code confirms that the terminal utilizes these real-time streams to power the "Smart Signals" and "Market Scanner" modules, providing a necessary low-latency edge for swing traders operating in a market prone to sudden "volatility spikes".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as the market matures, the dependence on external APIs like VNDirect's FINFO for intrinsic value calculation introduces a latency risk and a potential single-point-of-failure.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board recommends a more resilient architecture that caches fundamental data locally, refreshing it periodically to ensure that intraday technical scans are not throttled by API rate limits or connection instability during peak trading hours.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with Local Microstructure and Settlement Logic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impressive features identified in the v28.0 source code is its explicit accommodation of the Vietnamese T+2 settlement cycle.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many quantitative tools are built on universal templates that assume T+0 or T+1 liquidity, this terminal includes a dedicated "Backtest T+2" module and defines its short-term horizon as "Ngắn hạn (T+2, 1-5 ngày)".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reflects the reality that for a Vietnamese trader, a "buy" signal on Monday does not result in tradable liquidity until Wednesday afternoon, creating a structural delay that must be accounted for in momentum calculations and risk management.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Microstructure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v28.0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Settlement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Dedicated T+2 Backtest Tab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Liquidity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Threshold &gt; 1 billion VND/day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Necessary for Slippage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SSI-RT feed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Pre-funding (NPF)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explicitly calculated in risk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Emerging Requirement</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toward a Non-Prefunding (NPF) model for foreign institutional investors, as mandated by Circular 68/2024/TT-BTC and updated by Circular 18/2025/TT-BTC, represents a major structural shift in Vietnamese trading mechanics.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current terminal logic focuses on the domestic retail and semi-professional experience but lacks a module to monitor "Settlement Failure Risk," which carries significant penalties under the new regulations, including a 7-day suspension for institutional violators.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Valuation Methodologies: A Computational Finance Audit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implements four primary valuation pillars: tech-implied Discounted Cash Flow (DCF), the Graham Proxy, Sector P/E comparison, and P/B analysis.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models are designed to provide an "intrinsic value anchor," mitigating the risk of "chasing" overextended price action.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"Tech-Implied" DCF and the Pro-Cyclical Bias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DCF module utilizes the standard iterative summation of Free Cash Flows (FCF) discounted by a Weighted Average Cost of Capital (WACC).</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724908"/>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05500" cy="72490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v28.0 implementation, growth rates (</w:t>
      </w:r>
      <w:r w:rsidDel="00000000" w:rsidR="00000000" w:rsidRPr="00000000">
        <w:rPr>
          <w:rFonts w:ascii="Google Sans" w:cs="Google Sans" w:eastAsia="Google Sans" w:hAnsi="Google Sans"/>
          <w:color w:val="1f1f1f"/>
        </w:rPr>
        <w:drawing>
          <wp:inline distB="19050" distT="19050" distL="19050" distR="19050">
            <wp:extent cx="94622" cy="240195"/>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94622"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"tech-implied," meaning they are programmatically derived from historical CAGR data found in the "Financials" sub-tab.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this ensures a seamless user experience, the board identifies a significant "pro-cyclical skew." In an emerging economy like Vietnam, which saw a 2025 GDP surge of 8.2%, historical growth rates are often inflated by short-term macroeconomic tailwinds.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Using these rates without an "Economic Regime Filter" leads to valuations that may be overly optimistic for cyclical industries such as real estate (e.g., Vinhomes) or construction materials (e.g., Hoa Phat Group).</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terminal does not appear to ingest live interest rate data from the State Bank of Vietnam (SBV). In the Mankiw framework of classical economics, the real interest rate (</w:t>
      </w:r>
      <w:r w:rsidDel="00000000" w:rsidR="00000000" w:rsidRPr="00000000">
        <w:rPr>
          <w:rFonts w:ascii="Google Sans" w:cs="Google Sans" w:eastAsia="Google Sans" w:hAnsi="Google Sans"/>
          <w:color w:val="1f1f1f"/>
        </w:rPr>
        <w:drawing>
          <wp:inline distB="19050" distT="19050" distL="19050" distR="19050">
            <wp:extent cx="88232" cy="264695"/>
            <wp:effectExtent b="0" l="0" r="0" t="0"/>
            <wp:docPr id="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88232" cy="264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crucial determinant of investment demand and the discounting of future assets.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With the SBV maintaining a policy rate of 4.5% and deposit rates expected to rise by 40-60 basis points in 2026, the cost of capital in Vietnam is a dynamic variable that the terminal treats as a static parameter.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Graham Proxy and Defensive Value in Vietnam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adopts the Benjamin Graham formula for defensive investors, employing the hardcoded constant of 22.5.</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6869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46869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formula remains highly relevant in the Vietnamese context, where the VN-Index P/E ratio frequently trades between 13x and 16x.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board notes that the 22.5 constant assumes a mature market risk profile. Vietnam, despite its imminent upgrade, still carries idiosyncratic risks related to transparency and "asymmetric information".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professional adjustment would involve a "Vietnam Risk Multiple" (</w:t>
      </w:r>
      <w:r w:rsidDel="00000000" w:rsidR="00000000" w:rsidRPr="00000000">
        <w:rPr>
          <w:rFonts w:ascii="Google Sans" w:cs="Google Sans" w:eastAsia="Google Sans" w:hAnsi="Google Sans"/>
          <w:color w:val="1f1f1f"/>
        </w:rPr>
        <w:drawing>
          <wp:inline distB="19050" distT="19050" distL="19050" distR="19050">
            <wp:extent cx="291938" cy="234975"/>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91938" cy="234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dynamically adjusts the 22.5 constant based on the current 10-year Treasury yield and sectoral risk premiums. Currently, the model provides an accurate "conservative floor" for value stocks but is "incorrectly restrictive" for high-growth sectors like technology (FPT) or the evolving electric vehicle (EV) sector, where book values are often depressed by high R&amp;D investment.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Trend Analysis: Warning Signals and Emergence Indicators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professional-grade terminal must differentiate between a healthy retracement and a structural trend reversal. We propose the following modules for programmatic implementation to detect trend exhaustion and cycle genesis.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Signals for Trend Exhaustion and Market Reversal / Tín hiệu Cạn kiệt Xu hướng và Đảo chiều</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Khung Phân tích 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Momentum Divergence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Bearish exhaustion triggers when price makes a higher high but </w:t>
            </w:r>
            <w:r w:rsidDel="00000000" w:rsidR="00000000" w:rsidRPr="00000000">
              <w:rPr>
                <w:rFonts w:ascii="Google Sans" w:cs="Google Sans" w:eastAsia="Google Sans" w:hAnsi="Google Sans"/>
                <w:color w:val="1f1f1f"/>
                <w:shd w:fill="auto" w:val="clear"/>
              </w:rPr>
              <w:drawing>
                <wp:inline distB="19050" distT="19050" distL="19050" distR="19050">
                  <wp:extent cx="314136" cy="211859"/>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4136" cy="2118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color w:val="1f1f1f"/>
                <w:shd w:fill="auto" w:val="clear"/>
              </w:rPr>
              <w:drawing>
                <wp:inline distB="19050" distT="19050" distL="19050" distR="19050">
                  <wp:extent cx="559998" cy="208204"/>
                  <wp:effectExtent b="0" l="0" r="0" t="0"/>
                  <wp:docPr id="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59998" cy="20820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histogram forms a lower high, indicating waning conviction.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Tín hiệu cạn kiệt phe mua xuất hiện khi giá tạo đỉnh cao hơn nhưng </w:t>
            </w:r>
            <w:r w:rsidDel="00000000" w:rsidR="00000000" w:rsidRPr="00000000">
              <w:rPr>
                <w:rFonts w:ascii="Google Sans" w:cs="Google Sans" w:eastAsia="Google Sans" w:hAnsi="Google Sans"/>
                <w:color w:val="1f1f1f"/>
                <w:shd w:fill="auto" w:val="clear"/>
              </w:rPr>
              <w:drawing>
                <wp:inline distB="19050" distT="19050" distL="19050" distR="19050">
                  <wp:extent cx="314136" cy="211859"/>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4136" cy="2118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hoặc </w:t>
            </w:r>
            <w:r w:rsidDel="00000000" w:rsidR="00000000" w:rsidRPr="00000000">
              <w:rPr>
                <w:rFonts w:ascii="Google Sans" w:cs="Google Sans" w:eastAsia="Google Sans" w:hAnsi="Google Sans"/>
                <w:color w:val="1f1f1f"/>
                <w:shd w:fill="auto" w:val="clear"/>
              </w:rPr>
              <w:drawing>
                <wp:inline distB="19050" distT="19050" distL="19050" distR="19050">
                  <wp:extent cx="559998" cy="208204"/>
                  <wp:effectExtent b="0" l="0" r="0" t="0"/>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59998" cy="20820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tạo đỉnh thấp hơn, cho thấy niềm tin thị trường đang yếu đi.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Whale 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Detection of Buy-to-Sell (BTS) tactics where volume surges at resistance while price stalls, indicating institutional liquidation.</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Phát hiện chiến thuật "Mua để Bán" (BTS), nơi khối lượng tăng vọt tại kháng cự nhưng giá chững lại, báo hiệu tổ chức đang thoát hàng.</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"Change of Character" (</w:t>
            </w:r>
            <w:r w:rsidDel="00000000" w:rsidR="00000000" w:rsidRPr="00000000">
              <w:rPr>
                <w:rFonts w:ascii="Google Sans" w:cs="Google Sans" w:eastAsia="Google Sans" w:hAnsi="Google Sans"/>
                <w:color w:val="1f1f1f"/>
                <w:shd w:fill="auto" w:val="clear"/>
              </w:rPr>
              <w:drawing>
                <wp:inline distB="19050" distT="19050" distL="19050" distR="19050">
                  <wp:extent cx="613139" cy="211679"/>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13139" cy="2116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flagged if price fails to maintain its trend and breaches the </w:t>
            </w:r>
            <w:r w:rsidDel="00000000" w:rsidR="00000000" w:rsidRPr="00000000">
              <w:rPr>
                <w:rFonts w:ascii="Google Sans" w:cs="Google Sans" w:eastAsia="Google Sans" w:hAnsi="Google Sans"/>
                <w:color w:val="1f1f1f"/>
                <w:shd w:fill="auto" w:val="clear"/>
              </w:rPr>
              <w:drawing>
                <wp:inline distB="19050" distT="19050" distL="19050" distR="19050">
                  <wp:extent cx="555288" cy="211886"/>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5288" cy="2118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last swing low.</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Sự "Thay đổi Tính chất" (</w:t>
            </w:r>
            <w:r w:rsidDel="00000000" w:rsidR="00000000" w:rsidRPr="00000000">
              <w:rPr>
                <w:rFonts w:ascii="Google Sans" w:cs="Google Sans" w:eastAsia="Google Sans" w:hAnsi="Google Sans"/>
                <w:color w:val="1f1f1f"/>
                <w:shd w:fill="auto" w:val="clear"/>
              </w:rPr>
              <w:drawing>
                <wp:inline distB="19050" distT="19050" distL="19050" distR="19050">
                  <wp:extent cx="613139" cy="211679"/>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13139" cy="2116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được ghi nhận nếu giá không duy trì được cấu trúc xu hướng và phá vỡ đường </w:t>
            </w:r>
            <w:r w:rsidDel="00000000" w:rsidR="00000000" w:rsidRPr="00000000">
              <w:rPr>
                <w:rFonts w:ascii="Google Sans" w:cs="Google Sans" w:eastAsia="Google Sans" w:hAnsi="Google Sans"/>
                <w:color w:val="1f1f1f"/>
                <w:shd w:fill="auto" w:val="clear"/>
              </w:rPr>
              <w:drawing>
                <wp:inline distB="19050" distT="19050" distL="19050" distR="19050">
                  <wp:extent cx="555288" cy="211886"/>
                  <wp:effectExtent b="0" l="0" r="0" t="0"/>
                  <wp:docPr id="1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5288" cy="2118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hoặc đáy gần nhất.</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Seasonality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 VN-Index patterns (2012-2025) show a "January Effect" (+4.4%) often followed by a "March Weakening".</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Quy luật VN-Index (2012-2025) cho thấy "Hiệu ứng tháng 1" (+4.4%) thường được theo sau bởi sự suy yếu cấu trúc vào tháng 2 và tháng 3.</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Leading Indicators for New Trend Emergence / Chỉ báo Dẫn dắt cho Xu hướng Mới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Chiến lược 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Accumulation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Sell-to-Buy (STB) manipulations and "Bullish Order Blocks" (</w:t>
            </w:r>
            <w:r w:rsidDel="00000000" w:rsidR="00000000" w:rsidRPr="00000000">
              <w:rPr>
                <w:rFonts w:ascii="Google Sans" w:cs="Google Sans" w:eastAsia="Google Sans" w:hAnsi="Google Sans"/>
                <w:color w:val="1f1f1f"/>
                <w:shd w:fill="auto" w:val="clear"/>
              </w:rPr>
              <w:drawing>
                <wp:inline distB="19050" distT="19050" distL="19050" distR="19050">
                  <wp:extent cx="253596" cy="210123"/>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3596" cy="2101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as high-probability entry zones.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Nhận diện thao túng "Bán để Mua" (STB) và các "Khối lệnh Tăng giá" (</w:t>
            </w:r>
            <w:r w:rsidDel="00000000" w:rsidR="00000000" w:rsidRPr="00000000">
              <w:rPr>
                <w:rFonts w:ascii="Google Sans" w:cs="Google Sans" w:eastAsia="Google Sans" w:hAnsi="Google Sans"/>
                <w:color w:val="1f1f1f"/>
                <w:shd w:fill="auto" w:val="clear"/>
              </w:rPr>
              <w:drawing>
                <wp:inline distB="19050" distT="19050" distL="19050" distR="19050">
                  <wp:extent cx="253596" cy="210123"/>
                  <wp:effectExtent b="0" l="0" r="0" t="0"/>
                  <wp:docPr id="1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3596" cy="2101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làm vùng tham chiếu có xác suất đảo chiều cao.</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Volatility Squeeze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Bollinger Band contraction followed by expansion beyond Donchian Channels with a </w:t>
            </w:r>
            <w:r w:rsidDel="00000000" w:rsidR="00000000" w:rsidRPr="00000000">
              <w:rPr>
                <w:rFonts w:ascii="Google Sans" w:cs="Google Sans" w:eastAsia="Google Sans" w:hAnsi="Google Sans"/>
                <w:color w:val="1f1f1f"/>
                <w:shd w:fill="auto" w:val="clear"/>
              </w:rPr>
              <w:drawing>
                <wp:inline distB="19050" distT="19050" distL="19050" distR="19050">
                  <wp:extent cx="2270369" cy="209018"/>
                  <wp:effectExtent b="0" l="0" r="0" t="0"/>
                  <wp:docPr id="1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270369" cy="2090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Hiện tượng nén dải Bollinger sau đó mở rộng vượt kênh Donchian với xung lực </w:t>
            </w:r>
            <w:r w:rsidDel="00000000" w:rsidR="00000000" w:rsidRPr="00000000">
              <w:rPr>
                <w:rFonts w:ascii="Google Sans" w:cs="Google Sans" w:eastAsia="Google Sans" w:hAnsi="Google Sans"/>
                <w:color w:val="1f1f1f"/>
                <w:shd w:fill="auto" w:val="clear"/>
              </w:rPr>
              <w:drawing>
                <wp:inline distB="19050" distT="19050" distL="19050" distR="19050">
                  <wp:extent cx="2270369" cy="209018"/>
                  <wp:effectExtent b="0" l="0" r="0" t="0"/>
                  <wp:docPr id="1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270369" cy="2090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Macro-Monetary Pivot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Ingesting SBV Refinancing Rates; a shift from tightening to accommodation acts as a leading indicator for "Financials".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Theo dõi Lãi suất Tái cấp vốn của NHNN; sự dịch chuyển từ thắt chặt sang nới lỏng là chỉ báo dẫn dắt cho nhóm "Tài chính".</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Trend Strength (ADX)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crossover of </w:t>
            </w:r>
            <w:r w:rsidDel="00000000" w:rsidR="00000000" w:rsidRPr="00000000">
              <w:rPr>
                <w:rFonts w:ascii="Google Sans" w:cs="Google Sans" w:eastAsia="Google Sans" w:hAnsi="Google Sans"/>
                <w:color w:val="1f1f1f"/>
                <w:shd w:fill="auto" w:val="clear"/>
              </w:rPr>
              <w:drawing>
                <wp:inline distB="19050" distT="19050" distL="19050" distR="19050">
                  <wp:extent cx="909674" cy="207721"/>
                  <wp:effectExtent b="0" l="0" r="0" t="0"/>
                  <wp:docPr id="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909674" cy="2077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while </w:t>
            </w:r>
            <w:r w:rsidDel="00000000" w:rsidR="00000000" w:rsidRPr="00000000">
              <w:rPr>
                <w:rFonts w:ascii="Google Sans" w:cs="Google Sans" w:eastAsia="Google Sans" w:hAnsi="Google Sans"/>
                <w:color w:val="1f1f1f"/>
                <w:shd w:fill="auto" w:val="clear"/>
              </w:rPr>
              <w:drawing>
                <wp:inline distB="19050" distT="19050" distL="19050" distR="19050">
                  <wp:extent cx="781754" cy="209915"/>
                  <wp:effectExtent b="0" l="0" r="0" t="0"/>
                  <wp:docPr id="2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81754" cy="2099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provides a quantitative "green light" for trend validity.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Sự giao cắt của </w:t>
            </w:r>
            <w:r w:rsidDel="00000000" w:rsidR="00000000" w:rsidRPr="00000000">
              <w:rPr>
                <w:rFonts w:ascii="Google Sans" w:cs="Google Sans" w:eastAsia="Google Sans" w:hAnsi="Google Sans"/>
                <w:color w:val="1f1f1f"/>
                <w:shd w:fill="auto" w:val="clear"/>
              </w:rPr>
              <w:drawing>
                <wp:inline distB="19050" distT="19050" distL="19050" distR="19050">
                  <wp:extent cx="909674" cy="207721"/>
                  <wp:effectExtent b="0" l="0" r="0" t="0"/>
                  <wp:docPr id="2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909674" cy="2077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khi </w:t>
            </w:r>
            <w:r w:rsidDel="00000000" w:rsidR="00000000" w:rsidRPr="00000000">
              <w:rPr>
                <w:rFonts w:ascii="Google Sans" w:cs="Google Sans" w:eastAsia="Google Sans" w:hAnsi="Google Sans"/>
                <w:color w:val="1f1f1f"/>
                <w:shd w:fill="auto" w:val="clear"/>
              </w:rPr>
              <w:drawing>
                <wp:inline distB="19050" distT="19050" distL="19050" distR="19050">
                  <wp:extent cx="781754" cy="209915"/>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81754" cy="2099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cung cấp "tín hiệu xanh" định lượng cho tính hợp lệ của xu hướng mới.</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Forecasting: Ensemble Intelligence and Stochastic Modeling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distinguishing feature of the v28.0 terminal is its use of "Ensemble Forecasting," which aggregates predictions from Linear Regression, Holt-Winters exponential smoothing, and Monte Carlo (MC) simulations.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Monte Carlo Simulations and the Non-Gaussian Reality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Monte Carlo simulations represents a significant leap toward institutional-grade risk assessment. By generating thousands of potential price paths based on historical volatility, the terminal can estimate the probability of a stock reaching its target price within the 5-day to 6-month horizons.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our academic review of the VN-Index returns during the 2025 "Trade War 2.0" cycle reveals that market behavior is rarely Gaussian.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VN-Index Observation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Terminal Modeling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Leptokurtic (Fat Tails)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MC may underestimate extreme tail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Skewness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Negative Skew in "Tariff Shocks"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 modules need asymmetric volatility weighting.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intra-sector 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Portfolio backtests must use shrinkage estimators.</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improve precision, the terminal’s Monte Carlo engine should transition from a standard geometric Brownian motion to a "Jump-Diffusion" model that can account for the sudden, discrete price gaps that occur in emerging markets following regulatory shifts or "tariff shocks".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Holt-Winters and Linear Regression Components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Holt-Winters model is particularly effective for the Vietnamese market because of its "January Effect"—a historically observed seasonal peak where returns average 4.4%.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incorporating seasonality, the ensemble can filter out the cyclical "February-March weakening" that often catches retail traders off-guard.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board proposes that the terminal allow users to "weight" these ensemble components. A "momentum-heavy" trader might prefer a 60% weight on Linear Regression, whereas a "mean-reversion" trader might favor Holt-Winters and Monte Carlo.</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Microstructure and "Whale" Detection Techniques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quantitative trader, "Whale" money flow detection is the primary method for identifying institutional accumulation and distribution phases. The Captain Seventh terminal utilizes a "volume-price divergence" model to classify swing-trade risk as Low, Med, or High.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Flow Imbalance and Iceberg Detection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"Whale Activity Detector" in the terminal operates by identifying candles where current volume exceeds 4x the average volume (Volume SMA) while price stalls—a classic sign of an "Iceberg" order where a large participant is absorbing all market aggression at a specific price level.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Professional quant traders utilize the principles of "Sell to Buy" (STB) and "Buy to Sell" (BTS) to recognize these manipulation zones.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Manipulation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Whale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 Trap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Accumulation (STB)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short to trigger stop-losses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Breakout traders tricked into selling.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 (BTS)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long to attract retail buyers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FOMO traders buy at the top.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Block (OB)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hidden limit orders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 appears to hit a "brick wall."</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v28.0 terminal’s "Deep Scan" module correctly identifies these phases but lacks the "Intrabar Precision" required to differentiate between "Absorption" and "Exhaustion".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board suggests integrating a "Footprint Chart" logic that reconstructs buying and selling pressure inside the candle using 1-minute or 5-second sub-data to provide a "Net Whale Flow" dashboard.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Nexus: Classical Theory and the Vietnam Context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oversight in the current version of the terminal is the "Classical Dichotomy" gap—the separation of micro-technical signals from macroeconomic forces.[6, 6] In an emerging market like Vietnam, macro shocks (interest rates, exchange rates, and inflation) are the primary drivers of broad market direction.</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Quantity Theory and the SBV Credit Mandate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Mankiw’s quantity theory of money (</w:t>
      </w:r>
      <w:r w:rsidDel="00000000" w:rsidR="00000000" w:rsidRPr="00000000">
        <w:rPr>
          <w:rFonts w:ascii="Google Sans" w:cs="Google Sans" w:eastAsia="Google Sans" w:hAnsi="Google Sans"/>
          <w:color w:val="1f1f1f"/>
        </w:rPr>
        <w:drawing>
          <wp:inline distB="19050" distT="19050" distL="19050" distR="19050">
            <wp:extent cx="885233" cy="237502"/>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85233" cy="2375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posits that the rate of money growth determines the rate of inflation in the long run.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2025, the SBV’s 18% credit expansion supported a 41% market gain, as high liquidity sought outlets in the stock and real estate markets.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professional terminal must integrate a "Liquidity Pulse" indicator that tracks the SBV’s open-market operations and refinancing rate changes.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the SBV tightens, the "valuation ceiling" for sectors like "Financials" and "Real Estate" must be programmatically lowered, as the Mankiw model predicts a rise in the real interest rate will lead to a crowding out of investment.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Mundell-Fleming and USD/VND Currency Risk</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Vietnam operates as a "small open economy" under a managed float exchange rate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Mundell-Fleming model teaches that monetary policy influences income through the exchange rate.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late 2025, the USD/VND exchange rate experienced structural downside pressure, peaking near an 8% surge in unofficial rates.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Sectors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v28.0 Logic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 VND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Benefits Exporters (Textiles, Footwear)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Tariffs (20-40%)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Pressures electronics and transshipments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USD Debt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Increases liabilities for VIN Group / HPG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Partial (Debt Ratios)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SBV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Drains liquidity, raises rates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board identifies this as a "skewed risk" profile. The terminal treats a company’s financial health based on its balance sheet but ignores its "Currency Sensitivity." For example, a company with high USD-denominated debt (e.g., Vingroup) faces a hidden "Liquidity Crisis" risk if the VND depreciates, even if its domestic revenue remains stable.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Adjustments for Maximum Reliability and Precision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the Captain Seventh terminal from a high-quality retail tool to a professional-grade analytical workstation, the board proposes the following mathematical and systemic adjustments.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Ledoit-Wolf Shrinkage for Portfolio Selection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terminal’s current portfolio backtester assumes a standard covariance matrix, which is prone to "estimation error" in markets with limited historical data like Vietnam.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Academic research confirms that the Ledoit-Wolf nonlinear shrinkage approach for estimating the covariance matrix yields significantly better results in the HOSE market by "shrinking" extreme outliers toward a central mean, thereby reducing the risk of portfolio concentration in high-beta "mirage" stocks.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Transaction Cost and Tax Integration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frequent error in retail backtesting is the omission of "Vietnam Friction." The terminal must explicitly subtract a 0.3% "Total Execution Drag" from every backtested trade.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drag includes:</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Brokerage Fees:</w:t>
      </w:r>
      <w:r w:rsidDel="00000000" w:rsidR="00000000" w:rsidRPr="00000000">
        <w:rPr>
          <w:rFonts w:ascii="Google Sans" w:cs="Google Sans" w:eastAsia="Google Sans" w:hAnsi="Google Sans"/>
          <w:color w:val="1f1f1f"/>
          <w:rtl w:val="0"/>
        </w:rPr>
        <w:t xml:space="preserve"> Typically 0.1% to 0.15%.</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Transaction Tax:</w:t>
      </w:r>
      <w:r w:rsidDel="00000000" w:rsidR="00000000" w:rsidRPr="00000000">
        <w:rPr>
          <w:rFonts w:ascii="Google Sans" w:cs="Google Sans" w:eastAsia="Google Sans" w:hAnsi="Google Sans"/>
          <w:color w:val="1f1f1f"/>
          <w:rtl w:val="0"/>
        </w:rPr>
        <w:t xml:space="preserve"> 0.1% on gross proceeds (unchanged in 2025 for listed shares).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Slippage:</w:t>
      </w:r>
      <w:r w:rsidDel="00000000" w:rsidR="00000000" w:rsidRPr="00000000">
        <w:rPr>
          <w:rFonts w:ascii="Google Sans" w:cs="Google Sans" w:eastAsia="Google Sans" w:hAnsi="Google Sans"/>
          <w:color w:val="1f1f1f"/>
          <w:rtl w:val="0"/>
        </w:rPr>
        <w:t xml:space="preserve"> Estimated at 0.05% for high-liquidity tickers (&gt; 50bn VND/day) and 0.2% for mid-caps.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Bayesian "Deep Audit" for Financial Statements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"tech-implied" growth models should be supplemented with a Bayesian prior based on forensic accounting.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We propose a module that flags "Opaque Earnings" by comparing reported net income to actual operating cash flow. In the 2025 market, stocks like VIC showed liabilities relative to equity exceeding 500%, creating "unpredictable future cash flows" that standard financial models cannot capture.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"Governance Risk Score" that adjusts the DCF discount rate based on debt-to-equity and institutional ownership would provide a more precise valuation for long-term investors.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GIPS-Compliant Performance Reporting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align with global standards, the terminal should adopt the Global Investment Performance Standards (GIPS) for all strategy backtests.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requires the platform to provide "Full Disclosure" of its input data, maintain a consistent historical record of at least 5 years (or since strategy inception), and prevent the "cherry-picking" of successful timeframes.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Modules for Different Investor Profiles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board recognizes that the terminal serves two distinct personas: the "Swing Trader," who seeks to exploit market inefficiencies, and the "Long-Term Investor," who seeks to capitalize on Vietnam's structural growth.</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Modules for the Swing Trader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Swing trading in Vietnam is governed by "Retail Herding" and "Momentum Divergence".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Sentiment Scraper (PhoBERT):</w:t>
      </w:r>
      <w:r w:rsidDel="00000000" w:rsidR="00000000" w:rsidRPr="00000000">
        <w:rPr>
          <w:rFonts w:ascii="Google Sans" w:cs="Google Sans" w:eastAsia="Google Sans" w:hAnsi="Google Sans"/>
          <w:color w:val="1f1f1f"/>
          <w:rtl w:val="0"/>
        </w:rPr>
        <w:t xml:space="preserve"> We propose a module that utilizes transformer-based NLP models trained on Vietnamese text (PhoBERT) to analyze sentiment in forums and news comments.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would act as a "contrarian indicator"; extreme bullish sentiment often signals an impending BTS manipulation by Whales.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T+2 Exit Optimizer:</w:t>
      </w:r>
      <w:r w:rsidDel="00000000" w:rsidR="00000000" w:rsidRPr="00000000">
        <w:rPr>
          <w:rFonts w:ascii="Google Sans" w:cs="Google Sans" w:eastAsia="Google Sans" w:hAnsi="Google Sans"/>
          <w:color w:val="1f1f1f"/>
          <w:rtl w:val="0"/>
        </w:rPr>
        <w:t xml:space="preserve"> Since trades are locked for 48 hours, this module would calculate the "Settlement Liquidity" of a stock, flagging tickers where the "T+2 sell-off" typically occurs (the phenomenon where stocks are dumped the moment they become tradable).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VN-4 Factor Anomaly Scanner:</w:t>
      </w:r>
      <w:r w:rsidDel="00000000" w:rsidR="00000000" w:rsidRPr="00000000">
        <w:rPr>
          <w:rFonts w:ascii="Google Sans" w:cs="Google Sans" w:eastAsia="Google Sans" w:hAnsi="Google Sans"/>
          <w:color w:val="1f1f1f"/>
          <w:rtl w:val="0"/>
        </w:rPr>
        <w:t xml:space="preserve"> Instead of a simple CAPM model, the trader needs a scanner based on the "VN-4 Model," which identifies anomalies in Size, Earnings-to-Price (EP), Turnover, and Market factor.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Research indicates that the EP ratio outperforms the book-to-market ratio in capturing the value effect in Vietnam.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Modules for the Long-Term Investor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Long-term investing in Vietnam requires a focus on "Institutional Reform" and "Foreign Inflow Paths".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FOL (Foreign Ownership Limit) Room Monitor:</w:t>
      </w:r>
      <w:r w:rsidDel="00000000" w:rsidR="00000000" w:rsidRPr="00000000">
        <w:rPr>
          <w:rFonts w:ascii="Google Sans" w:cs="Google Sans" w:eastAsia="Google Sans" w:hAnsi="Google Sans"/>
          <w:color w:val="1f1f1f"/>
          <w:rtl w:val="0"/>
        </w:rPr>
        <w:t xml:space="preserve"> With the 2025 reforms preventing companies from setting arbitrarily low FOLs, institutional investors need a real-time monitor to identify stocks that have recently "opened up" to foreign capital.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IPO/New Listing Evaluator:</w:t>
      </w:r>
      <w:r w:rsidDel="00000000" w:rsidR="00000000" w:rsidRPr="00000000">
        <w:rPr>
          <w:rFonts w:ascii="Google Sans" w:cs="Google Sans" w:eastAsia="Google Sans" w:hAnsi="Google Sans"/>
          <w:color w:val="1f1f1f"/>
          <w:rtl w:val="0"/>
        </w:rPr>
        <w:t xml:space="preserve"> Decree 245/2025/ND-CP reduced the IPO-to-listing timeline from 90 days to 30 days, sparking a revival in the IPO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long-term investor needs a module that applies "pre-listing valuation" to newly debutants like Techcom Securities (TCX) or VPBank Securities (VPX).</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 Law 2025 Tax Optimizer:</w:t>
      </w:r>
      <w:r w:rsidDel="00000000" w:rsidR="00000000" w:rsidRPr="00000000">
        <w:rPr>
          <w:rFonts w:ascii="Google Sans" w:cs="Google Sans" w:eastAsia="Google Sans" w:hAnsi="Google Sans"/>
          <w:color w:val="1f1f1f"/>
          <w:rtl w:val="0"/>
        </w:rPr>
        <w:t xml:space="preserve"> This module would calculate the post-tax return for domestic versus foreign investors based on the October 2025 CIT updates, particularly the 2% flat tax on non-resident business transfers versus the 0.1% gross tax on listed shares.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of the Academic Board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Captain Seventh QUANT TERMINAL v28.0 is a robust and pioneering tool that effectively captures the unique microstructural nuances of the Vietnamese market. However, to survive and thrive in the post-2025 "Emerging Market" era, the platform must bridge the current "Macro-Gap." By integrating live macroeconomic data, refining its stochastic models for non-Gaussian distributions, and implementing professional "End-of-Trend" warning signals, the terminal will move from being a "reactive" technical tool to a "proactive" strategic workstation. The board identifies the "Sentiment Buffer" and "Ledoit-Wolf Shrinkage" as the two most critical technical upgrades to prevent "alpha mirages" and capital concentration risks.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Vietnam consolidates its position as one of Asia's most dynamic equity markets, the demand for "Professionalism, Transparency, and Sustainability" will become the hallmark of the new investment era.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Captain Seventh terminal, with the proposed systemic adjustments, is uniquely positioned to lead this technological takeoff, providing the next generation of investors with the precision required to navigate the "boundless ocean of market opportunities".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Market Reform Wave: A Market at a Turning Point | VanEck,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https://www.vaneck.com/us/en/blogs/emerging-markets-equity/vietnams-market-reform-wave-a-market-at-a-turning-point/</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2026: New Opportunities from Market Upgrade and Re-Rating,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https://vccinews.com/news/62361/stock-market-2026-new-opportunities-from-market-upgrade-and-re-rating.html</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 highs, structural change shape Việt Nam's stock market in 2025,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https://vietnamnews.vn/economy/1732935/record-highs-structural-change-shape-viet-nam-s-stock-market-in-2025.html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rules ease foreign access to Vietnam equities,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https://vir.com.vn/new-rules-ease-foreign-access-to-vietnam-equities-146204.html</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The ASEAN powerhouse - LSEG,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https://www.lseg.com/en/insights/ftse-russell/vietnam-the-asean-powerhouse</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quant_app.py</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Stock Forecasting Model in Vietnam - Fundopedia,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https://chenjiazizhong.com/2025/03/26/ai-powered-stock-forecasting-model-in-vietnam/</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No. 18/2025/TT-BTC amending and supplementing several articles of Circular No. 119/2020/TT-BTC dated December 31, 2020 of the Minister of Finance regulating the registration, depository, clearing and settlement of securities and Circular No. 96/2020/TT-BTC dated November 16, 2020 of the Minister of Finance guiding the information disclosure on securities market amended by Circular 68/2024/TT-BTC dated September 18, 2024 of the Minister of Finance 04 28, 2025,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https://ssc.gov.vn/webcenter/portal/ssc/pages_r/l/chitit?dDocName=APPSSCGOVVN1620154394</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Intrinsic value calculation: A practical framework for investors - Winvesta,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https://www.winvesta.in/blog/investors/intrinsic-value-calculation-a-practical-framework</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posts resilient 2025 performance - Vietnam Investment Review,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https://vir.com.vn/stock-market-posts-resilient-2025-performance-143304.html</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Dynamics 2025 - MBS,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https://www.mbs.com.vn/files/uploads/2025/04/mbs_vn-dynamics-2025_eng-1.pdf</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June 2025 Macroeconomic &amp; Stock Market: 8% GDP, 3.1% Market Return, Key Policy Moves | Timvest,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https://timvest.ch/vietnam-macro-stock-market-june-2025</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on the cusp of a breakthrough - Vietnam strategy report,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https://masvn.com/api/attachment/file/1768212082312-MASVN_RS_Strategy_2026_01.pdf</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Graham Number: Meaning, Formula, Example &amp; Role in Value Investing | Kotak Neo,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https://www.kotakneo.com/investing-guide/share-market/what-is-graham-number/</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Benjamin Graham Number: What Is It, Calculation &amp; Importance - Investing.com,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https://www.investing.com/academy/analysis/benjamin-graham-number-definition/</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 Nam's stock market closes 2025 with impressive 41% gain - NhanDan,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https://en.nhandan.vn/viet-nams-stock-market-closes-2025-with-impressive-41-gain-post157479.html</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stock market outlook October 2025 - AQUIS Capital,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https://aquis-capital.com/news/vietnam-stock-market-outlook-october-2025-stability-reform-and-renewed-investor-confidence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bizarre Stock Market performance in 2025 - PYN,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https://www.pyn.fi/en/blog/2026/vietnams-bizarre-stock-market-performance-in-2025/</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Graham number - Wikipedia,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https://en.wikipedia.org/wiki/Graham_number</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"Whales" Manipulate Markets: A Trader's Guide to Succeed - TradingView,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https://www.tradingview.com/chart/XAUUSD/58ZAm02a-How-Whales-Manipulate-Markets-A-Trader-s-Guide-to-Succeed/</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closes 2025 with impressive 41% gain,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https://en.vietnamplus.vn/vietnams-stock-market-closes-2025-with-impressive-41-gain-post335320.vnp</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Monte Carlo Simulation for Risk and Behavior Analysis in Financial Markets | Highlights in Business, Economics and Management - Darcy &amp; Roy Press,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https://drpress.org/ojs/index.php/HBEM/article/view/27378</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Monte Carlo Simulations of the S&amp;P 500 Index before and after the Outbreak of the SARS-COV-2 Pandemic,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https://www.dbc.wroc.pl/Content/121958/Nawrocki_Effectiveness_of_Monte_Carlo.pdf</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 — Indicators and Strategies — TradingView — India,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https://in.tradingview.com/scripts/whale/</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&amp; Order Flow: Tools for Deep Market Insight - Bookmap,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https://bookmap.com/blog/volume-profile-order-flow-tools-for-deep-market-insight</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Whales — Chỉ báo và Chiến lược - TradingView, accessed March 12, 2026, </w:t>
      </w:r>
      <w:hyperlink r:id="rId44">
        <w:r w:rsidDel="00000000" w:rsidR="00000000" w:rsidRPr="00000000">
          <w:rPr>
            <w:rFonts w:ascii="Google Sans" w:cs="Google Sans" w:eastAsia="Google Sans" w:hAnsi="Google Sans"/>
            <w:color w:val="0000ee"/>
            <w:sz w:val="24"/>
            <w:szCs w:val="24"/>
            <w:u w:val="single"/>
            <w:rtl w:val="0"/>
          </w:rPr>
          <w:t xml:space="preserve">https://vn.tradingview.com/scripts/whales/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markets in the news: What investors need to know - Brown Brothers Harriman, accessed March 12, 2026, </w:t>
      </w:r>
      <w:hyperlink r:id="rId45">
        <w:r w:rsidDel="00000000" w:rsidR="00000000" w:rsidRPr="00000000">
          <w:rPr>
            <w:rFonts w:ascii="Google Sans" w:cs="Google Sans" w:eastAsia="Google Sans" w:hAnsi="Google Sans"/>
            <w:color w:val="0000ee"/>
            <w:sz w:val="24"/>
            <w:szCs w:val="24"/>
            <w:u w:val="single"/>
            <w:rtl w:val="0"/>
          </w:rPr>
          <w:t xml:space="preserve">https://www.bbh.com/us/en/insights/investor-services-insights/emerging-markets-in-the-news-what-investors-need-to-know.html</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Approach portfolio selection for Vietnamese stock market based on nonlinear shrinkage method - IEEE Xplore, accessed March 12, 2026, </w:t>
      </w:r>
      <w:hyperlink r:id="rId46">
        <w:r w:rsidDel="00000000" w:rsidR="00000000" w:rsidRPr="00000000">
          <w:rPr>
            <w:rFonts w:ascii="Google Sans" w:cs="Google Sans" w:eastAsia="Google Sans" w:hAnsi="Google Sans"/>
            <w:color w:val="0000ee"/>
            <w:sz w:val="24"/>
            <w:szCs w:val="24"/>
            <w:u w:val="single"/>
            <w:rtl w:val="0"/>
          </w:rPr>
          <w:t xml:space="preserve">https://ieeexplore.ieee.org/document/9953803/</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and anomalies in the Vietnamese stock market, accessed March 12, 2026, </w:t>
      </w:r>
      <w:hyperlink r:id="rId47">
        <w:r w:rsidDel="00000000" w:rsidR="00000000" w:rsidRPr="00000000">
          <w:rPr>
            <w:rFonts w:ascii="Google Sans" w:cs="Google Sans" w:eastAsia="Google Sans" w:hAnsi="Google Sans"/>
            <w:color w:val="0000ee"/>
            <w:sz w:val="24"/>
            <w:szCs w:val="24"/>
            <w:u w:val="single"/>
            <w:rtl w:val="0"/>
          </w:rPr>
          <w:t xml:space="preserve">https://www.pbcsf.tsinghua.edu.cn/__local/7/F5/A9/E0366D36DF73499C8CBFB66C505_4D50779F_1C1EEF.pdf</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April 29, 2025, service fees in the securities sector at the Vietnam Exchange - LuatVietnam.vn - Legal documents of Vietnamese laws, accessed March 12, 2026, </w:t>
      </w:r>
      <w:hyperlink r:id="rId48">
        <w:r w:rsidDel="00000000" w:rsidR="00000000" w:rsidRPr="00000000">
          <w:rPr>
            <w:rFonts w:ascii="Google Sans" w:cs="Google Sans" w:eastAsia="Google Sans" w:hAnsi="Google Sans"/>
            <w:color w:val="0000ee"/>
            <w:sz w:val="24"/>
            <w:szCs w:val="24"/>
            <w:u w:val="single"/>
            <w:rtl w:val="0"/>
          </w:rPr>
          <w:t xml:space="preserve">https://english.luatvietnam.vn/legal-updates/from-april-29-2025-service-fees-in-the-securities-sector-at-the-vietnam-stock-exchange-892-101999-article.html</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Capital Gains Tax: What Businesses Need to Know in 2025, accessed March 12, 2026, </w:t>
      </w:r>
      <w:hyperlink r:id="rId49">
        <w:r w:rsidDel="00000000" w:rsidR="00000000" w:rsidRPr="00000000">
          <w:rPr>
            <w:rFonts w:ascii="Google Sans" w:cs="Google Sans" w:eastAsia="Google Sans" w:hAnsi="Google Sans"/>
            <w:color w:val="0000ee"/>
            <w:sz w:val="24"/>
            <w:szCs w:val="24"/>
            <w:u w:val="single"/>
            <w:rtl w:val="0"/>
          </w:rPr>
          <w:t xml:space="preserve">https://vietnam.incorp.asia/vietnam-capital-gains-tax-in-2025/</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 CFA Institute, accessed March 12, 2026, </w:t>
      </w:r>
      <w:hyperlink r:id="rId50">
        <w:r w:rsidDel="00000000" w:rsidR="00000000" w:rsidRPr="00000000">
          <w:rPr>
            <w:rFonts w:ascii="Google Sans" w:cs="Google Sans" w:eastAsia="Google Sans" w:hAnsi="Google Sans"/>
            <w:color w:val="0000ee"/>
            <w:sz w:val="24"/>
            <w:szCs w:val="24"/>
            <w:u w:val="single"/>
            <w:rtl w:val="0"/>
          </w:rPr>
          <w:t xml:space="preserve">https://rpc.cfainstitute.org/gips-standards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FOR FIRMS, accessed March 12, 2026, </w:t>
      </w:r>
      <w:hyperlink r:id="rId51">
        <w:r w:rsidDel="00000000" w:rsidR="00000000" w:rsidRPr="00000000">
          <w:rPr>
            <w:rFonts w:ascii="Google Sans" w:cs="Google Sans" w:eastAsia="Google Sans" w:hAnsi="Google Sans"/>
            <w:color w:val="0000ee"/>
            <w:sz w:val="24"/>
            <w:szCs w:val="24"/>
            <w:u w:val="single"/>
            <w:rtl w:val="0"/>
          </w:rPr>
          <w:t xml:space="preserve">https://www.gipsstandards.org/wp-content/uploads/2021/03/2020_gips_standards_firms.pdf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GIPS Standards Explained | CFA Level 1 - AnalystPrep, accessed March 12, 2026, </w:t>
      </w:r>
      <w:hyperlink r:id="rId52">
        <w:r w:rsidDel="00000000" w:rsidR="00000000" w:rsidRPr="00000000">
          <w:rPr>
            <w:rFonts w:ascii="Google Sans" w:cs="Google Sans" w:eastAsia="Google Sans" w:hAnsi="Google Sans"/>
            <w:color w:val="0000ee"/>
            <w:sz w:val="24"/>
            <w:szCs w:val="24"/>
            <w:u w:val="single"/>
            <w:rtl w:val="0"/>
          </w:rPr>
          <w:t xml:space="preserve">https://analystprep.com/cfa-level-1-exam/ethical-and-professional-standards/the-gips-standards/</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 NASRA, accessed March 12, 2026, </w:t>
      </w:r>
      <w:hyperlink r:id="rId53">
        <w:r w:rsidDel="00000000" w:rsidR="00000000" w:rsidRPr="00000000">
          <w:rPr>
            <w:rFonts w:ascii="Google Sans" w:cs="Google Sans" w:eastAsia="Google Sans" w:hAnsi="Google Sans"/>
            <w:color w:val="0000ee"/>
            <w:sz w:val="24"/>
            <w:szCs w:val="24"/>
            <w:u w:val="single"/>
            <w:rtl w:val="0"/>
          </w:rPr>
          <w:t xml:space="preserve">https://www.nasra.org/Files/Topical%20Reports/Investment/GIPS.pdf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Swing Trading Strategy - Quant Savvy, accessed March 12, 2026, </w:t>
      </w:r>
      <w:hyperlink r:id="rId54">
        <w:r w:rsidDel="00000000" w:rsidR="00000000" w:rsidRPr="00000000">
          <w:rPr>
            <w:rFonts w:ascii="Google Sans" w:cs="Google Sans" w:eastAsia="Google Sans" w:hAnsi="Google Sans"/>
            <w:color w:val="0000ee"/>
            <w:sz w:val="24"/>
            <w:szCs w:val="24"/>
            <w:u w:val="single"/>
            <w:rtl w:val="0"/>
          </w:rPr>
          <w:t xml:space="preserve">https://quantsavvy.com/swing-trading-strategy/</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Indicators for Swing Trading Every Trader Should Know - ThinkMarkets, accessed March 12, 2026, </w:t>
      </w:r>
      <w:hyperlink r:id="rId55">
        <w:r w:rsidDel="00000000" w:rsidR="00000000" w:rsidRPr="00000000">
          <w:rPr>
            <w:rFonts w:ascii="Google Sans" w:cs="Google Sans" w:eastAsia="Google Sans" w:hAnsi="Google Sans"/>
            <w:color w:val="0000ee"/>
            <w:sz w:val="24"/>
            <w:szCs w:val="24"/>
            <w:u w:val="single"/>
            <w:rtl w:val="0"/>
          </w:rPr>
          <w:t xml:space="preserve">https://www.thinkmarkets.com/en/trading-academy/indicators-and-patterns/best-indicators-for-swing-trading/</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overhauls securities market rules to boost foreign investment - The Investor, accessed March 12, 2026, </w:t>
      </w:r>
      <w:hyperlink r:id="rId56">
        <w:r w:rsidDel="00000000" w:rsidR="00000000" w:rsidRPr="00000000">
          <w:rPr>
            <w:rFonts w:ascii="Google Sans" w:cs="Google Sans" w:eastAsia="Google Sans" w:hAnsi="Google Sans"/>
            <w:color w:val="0000ee"/>
            <w:sz w:val="24"/>
            <w:szCs w:val="24"/>
            <w:u w:val="single"/>
            <w:rtl w:val="0"/>
          </w:rPr>
          <w:t xml:space="preserve">https://theinvestor.vn/vietnam-overhauls-securities-market-rules-to-boost-foreign-investment-d17003.html</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Decree No. 245/2025/ND-CP to create more favorable conditions for foreign investors to participate in the Viet Nam's securities market 09 12, 2025 - Detail, accessed March 12, 2026, </w:t>
      </w:r>
      <w:hyperlink r:id="rId57">
        <w:r w:rsidDel="00000000" w:rsidR="00000000" w:rsidRPr="00000000">
          <w:rPr>
            <w:rFonts w:ascii="Google Sans" w:cs="Google Sans" w:eastAsia="Google Sans" w:hAnsi="Google Sans"/>
            <w:color w:val="0000ee"/>
            <w:sz w:val="24"/>
            <w:szCs w:val="24"/>
            <w:u w:val="single"/>
            <w:rtl w:val="0"/>
          </w:rPr>
          <w:t xml:space="preserve">https://ssc.gov.vn/webcenter/portal/ssc/pages_r/l/chitit?dDocName=APPSSCGOVVN1620158762</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New Capital Gains Tax Rules For Foreign Enterprises, accessed March 12, 2026, </w:t>
      </w:r>
      <w:hyperlink r:id="rId58">
        <w:r w:rsidDel="00000000" w:rsidR="00000000" w:rsidRPr="00000000">
          <w:rPr>
            <w:rFonts w:ascii="Google Sans" w:cs="Google Sans" w:eastAsia="Google Sans" w:hAnsi="Google Sans"/>
            <w:color w:val="0000ee"/>
            <w:sz w:val="24"/>
            <w:szCs w:val="24"/>
            <w:u w:val="single"/>
            <w:rtl w:val="0"/>
          </w:rPr>
          <w:t xml:space="preserve">https://vietnam-business-law.info/blog/2025/9/4/vietnams-new-capital-gains-tax-rules-for-foreign-enterprises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press.org/ojs/index.php/HBEM/article/view/27378" TargetMode="External"/><Relationship Id="rId42" Type="http://schemas.openxmlformats.org/officeDocument/2006/relationships/hyperlink" Target="https://in.tradingview.com/scripts/whale/" TargetMode="External"/><Relationship Id="rId41" Type="http://schemas.openxmlformats.org/officeDocument/2006/relationships/hyperlink" Target="https://www.dbc.wroc.pl/Content/121958/Nawrocki_Effectiveness_of_Monte_Carlo.pdf" TargetMode="External"/><Relationship Id="rId44" Type="http://schemas.openxmlformats.org/officeDocument/2006/relationships/hyperlink" Target="https://vn.tradingview.com/scripts/whales/" TargetMode="External"/><Relationship Id="rId43" Type="http://schemas.openxmlformats.org/officeDocument/2006/relationships/hyperlink" Target="https://bookmap.com/blog/volume-profile-order-flow-tools-for-deep-market-insight" TargetMode="External"/><Relationship Id="rId46" Type="http://schemas.openxmlformats.org/officeDocument/2006/relationships/hyperlink" Target="https://ieeexplore.ieee.org/document/9953803/" TargetMode="External"/><Relationship Id="rId45" Type="http://schemas.openxmlformats.org/officeDocument/2006/relationships/hyperlink" Target="https://www.bbh.com/us/en/insights/investor-services-insights/emerging-markets-in-the-news-what-investors-need-to-know.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english.luatvietnam.vn/legal-updates/from-april-29-2025-service-fees-in-the-securities-sector-at-the-vietnam-stock-exchange-892-101999-article.html" TargetMode="External"/><Relationship Id="rId47" Type="http://schemas.openxmlformats.org/officeDocument/2006/relationships/hyperlink" Target="https://www.pbcsf.tsinghua.edu.cn/__local/7/F5/A9/E0366D36DF73499C8CBFB66C505_4D50779F_1C1EEF.pdf" TargetMode="External"/><Relationship Id="rId49" Type="http://schemas.openxmlformats.org/officeDocument/2006/relationships/hyperlink" Target="https://vietnam.incorp.asia/vietnam-capital-gains-tax-in-2025/"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4.png"/><Relationship Id="rId31" Type="http://schemas.openxmlformats.org/officeDocument/2006/relationships/hyperlink" Target="https://masvn.com/api/attachment/file/1768212082312-MASVN_RS_Strategy_2026_01.pdf" TargetMode="External"/><Relationship Id="rId30" Type="http://schemas.openxmlformats.org/officeDocument/2006/relationships/hyperlink" Target="https://timvest.ch/vietnam-macro-stock-market-june-2025" TargetMode="External"/><Relationship Id="rId33" Type="http://schemas.openxmlformats.org/officeDocument/2006/relationships/hyperlink" Target="https://www.investing.com/academy/analysis/benjamin-graham-number-definition/" TargetMode="External"/><Relationship Id="rId32" Type="http://schemas.openxmlformats.org/officeDocument/2006/relationships/hyperlink" Target="https://www.kotakneo.com/investing-guide/share-market/what-is-graham-number/" TargetMode="External"/><Relationship Id="rId35" Type="http://schemas.openxmlformats.org/officeDocument/2006/relationships/hyperlink" Target="https://aquis-capital.com/news/vietnam-stock-market-outlook-october-2025-stability-reform-and-renewed-investor-confidence" TargetMode="External"/><Relationship Id="rId34" Type="http://schemas.openxmlformats.org/officeDocument/2006/relationships/hyperlink" Target="https://en.nhandan.vn/viet-nams-stock-market-closes-2025-with-impressive-41-gain-post157479.html" TargetMode="External"/><Relationship Id="rId37" Type="http://schemas.openxmlformats.org/officeDocument/2006/relationships/hyperlink" Target="https://en.wikipedia.org/wiki/Graham_number" TargetMode="External"/><Relationship Id="rId36" Type="http://schemas.openxmlformats.org/officeDocument/2006/relationships/hyperlink" Target="https://www.pyn.fi/en/blog/2026/vietnams-bizarre-stock-market-performance-in-2025/" TargetMode="External"/><Relationship Id="rId39" Type="http://schemas.openxmlformats.org/officeDocument/2006/relationships/hyperlink" Target="https://en.vietnamplus.vn/vietnams-stock-market-closes-2025-with-impressive-41-gain-post335320.vnp" TargetMode="External"/><Relationship Id="rId38" Type="http://schemas.openxmlformats.org/officeDocument/2006/relationships/hyperlink" Target="https://www.tradingview.com/chart/XAUUSD/58ZAm02a-How-Whales-Manipulate-Markets-A-Trader-s-Guide-to-Succeed/" TargetMode="External"/><Relationship Id="rId20" Type="http://schemas.openxmlformats.org/officeDocument/2006/relationships/hyperlink" Target="https://www.vaneck.com/us/en/blogs/emerging-markets-equity/vietnams-market-reform-wave-a-market-at-a-turning-point/" TargetMode="External"/><Relationship Id="rId22" Type="http://schemas.openxmlformats.org/officeDocument/2006/relationships/hyperlink" Target="https://vietnamnews.vn/economy/1732935/record-highs-structural-change-shape-viet-nam-s-stock-market-in-2025.html" TargetMode="External"/><Relationship Id="rId21" Type="http://schemas.openxmlformats.org/officeDocument/2006/relationships/hyperlink" Target="https://vccinews.com/news/62361/stock-market-2026-new-opportunities-from-market-upgrade-and-re-rating.html" TargetMode="External"/><Relationship Id="rId24" Type="http://schemas.openxmlformats.org/officeDocument/2006/relationships/hyperlink" Target="https://www.lseg.com/en/insights/ftse-russell/vietnam-the-asean-powerhouse" TargetMode="External"/><Relationship Id="rId23" Type="http://schemas.openxmlformats.org/officeDocument/2006/relationships/hyperlink" Target="https://vir.com.vn/new-rules-ease-foreign-access-to-vietnam-equities-146204.html" TargetMode="External"/><Relationship Id="rId26" Type="http://schemas.openxmlformats.org/officeDocument/2006/relationships/hyperlink" Target="https://ssc.gov.vn/webcenter/portal/ssc/pages_r/l/chitit?dDocName=APPSSCGOVVN1620154394" TargetMode="External"/><Relationship Id="rId25" Type="http://schemas.openxmlformats.org/officeDocument/2006/relationships/hyperlink" Target="https://chenjiazizhong.com/2025/03/26/ai-powered-stock-forecasting-model-in-vietnam/" TargetMode="External"/><Relationship Id="rId28" Type="http://schemas.openxmlformats.org/officeDocument/2006/relationships/hyperlink" Target="https://vir.com.vn/stock-market-posts-resilient-2025-performance-143304.html" TargetMode="External"/><Relationship Id="rId27" Type="http://schemas.openxmlformats.org/officeDocument/2006/relationships/hyperlink" Target="https://www.winvesta.in/blog/investors/intrinsic-value-calculation-a-practical-framework" TargetMode="External"/><Relationship Id="rId29" Type="http://schemas.openxmlformats.org/officeDocument/2006/relationships/hyperlink" Target="https://www.mbs.com.vn/files/uploads/2025/04/mbs_vn-dynamics-2025_eng-1.pdf" TargetMode="External"/><Relationship Id="rId51" Type="http://schemas.openxmlformats.org/officeDocument/2006/relationships/hyperlink" Target="https://www.gipsstandards.org/wp-content/uploads/2021/03/2020_gips_standards_firms.pdf" TargetMode="External"/><Relationship Id="rId50" Type="http://schemas.openxmlformats.org/officeDocument/2006/relationships/hyperlink" Target="https://rpc.cfainstitute.org/gips-standards" TargetMode="External"/><Relationship Id="rId53" Type="http://schemas.openxmlformats.org/officeDocument/2006/relationships/hyperlink" Target="https://www.nasra.org/Files/Topical%20Reports/Investment/GIPS.pdf" TargetMode="External"/><Relationship Id="rId52" Type="http://schemas.openxmlformats.org/officeDocument/2006/relationships/hyperlink" Target="https://analystprep.com/cfa-level-1-exam/ethical-and-professional-standards/the-gips-standards/" TargetMode="External"/><Relationship Id="rId11" Type="http://schemas.openxmlformats.org/officeDocument/2006/relationships/image" Target="media/image2.png"/><Relationship Id="rId55" Type="http://schemas.openxmlformats.org/officeDocument/2006/relationships/hyperlink" Target="https://www.thinkmarkets.com/en/trading-academy/indicators-and-patterns/best-indicators-for-swing-trading/" TargetMode="External"/><Relationship Id="rId10" Type="http://schemas.openxmlformats.org/officeDocument/2006/relationships/image" Target="media/image9.png"/><Relationship Id="rId54" Type="http://schemas.openxmlformats.org/officeDocument/2006/relationships/hyperlink" Target="https://quantsavvy.com/swing-trading-strategy/" TargetMode="External"/><Relationship Id="rId13" Type="http://schemas.openxmlformats.org/officeDocument/2006/relationships/image" Target="media/image12.png"/><Relationship Id="rId57" Type="http://schemas.openxmlformats.org/officeDocument/2006/relationships/hyperlink" Target="https://ssc.gov.vn/webcenter/portal/ssc/pages_r/l/chitit?dDocName=APPSSCGOVVN1620158762" TargetMode="External"/><Relationship Id="rId12" Type="http://schemas.openxmlformats.org/officeDocument/2006/relationships/image" Target="media/image13.png"/><Relationship Id="rId56" Type="http://schemas.openxmlformats.org/officeDocument/2006/relationships/hyperlink" Target="https://theinvestor.vn/vietnam-overhauls-securities-market-rules-to-boost-foreign-investment-d17003.html" TargetMode="External"/><Relationship Id="rId15" Type="http://schemas.openxmlformats.org/officeDocument/2006/relationships/image" Target="media/image5.png"/><Relationship Id="rId14" Type="http://schemas.openxmlformats.org/officeDocument/2006/relationships/image" Target="media/image3.png"/><Relationship Id="rId58" Type="http://schemas.openxmlformats.org/officeDocument/2006/relationships/hyperlink" Target="https://vietnam-business-law.info/blog/2025/9/4/vietnams-new-capital-gains-tax-rules-for-foreign-enterprises" TargetMode="External"/><Relationship Id="rId17" Type="http://schemas.openxmlformats.org/officeDocument/2006/relationships/image" Target="media/image6.png"/><Relationship Id="rId16" Type="http://schemas.openxmlformats.org/officeDocument/2006/relationships/image" Target="media/image10.png"/><Relationship Id="rId19" Type="http://schemas.openxmlformats.org/officeDocument/2006/relationships/image" Target="media/image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