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before="480" w:after="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A3A5C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AAD4F5"/>
          <w:sz w:val="22"/>
          <w:szCs w:val="22"/>
        </w:rPr>
        <w:t xml:space="preserve">RESEARCH &amp; PROPOSAL</w:t>
      </w:r>
    </w:p>
    <w:p>
      <w:pPr>
        <w:shd w:fill="1A3A5C" w:val="clear"/>
        <w:spacing w:before="40" w:after="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STOCK VALUATION</w:t>
      </w:r>
    </w:p>
    <w:p>
      <w:pPr>
        <w:shd w:fill="1A3A5C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AAD4F5"/>
          <w:sz w:val="32"/>
          <w:szCs w:val="32"/>
        </w:rPr>
        <w:t xml:space="preserve">IN VIETNAM'S EQUITY MARKET</w:t>
      </w:r>
    </w:p>
    <w:p>
      <w:pPr>
        <w:shd w:fill="1A3A5C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AAD4F5"/>
          <w:sz w:val="26"/>
          <w:szCs w:val="26"/>
        </w:rPr>
        <w:t xml:space="preserve">Theory · Practice · Quantitative Application</w:t>
      </w:r>
    </w:p>
    <w:p>
      <w:pPr>
        <w:shd w:fill="1A3A5C" w:val="clear"/>
        <w:spacing w:before="160" w:after="0"/>
        <w:jc w:val="center"/>
      </w:pPr>
      <w:r>
        <w:rPr>
          <w:rFonts w:ascii="Arial" w:cs="Arial" w:eastAsia="Arial" w:hAnsi="Arial"/>
          <w:b/>
          <w:bCs/>
          <w:color w:val="F4C430"/>
          <w:sz w:val="30"/>
          <w:szCs w:val="30"/>
        </w:rPr>
        <w:t xml:space="preserve">Case Studies: VIC · FPT · HPG</w:t>
      </w:r>
    </w:p>
    <w:p>
      <w:pPr>
        <w:shd w:fill="1A3A5C" w:val="clear"/>
        <w:spacing w:before="120" w:after="24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Captain Seventh QUANT TERMINAL  |  March 2026</w:t>
      </w:r>
    </w:p>
    <w:p>
      <w:r>
        <w:br w:type="page"/>
      </w:r>
    </w:p>
    <w:p>
      <w:pPr>
        <w:pStyle w:val="Heading1"/>
        <w:shd w:fill="1A3A5C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 — PRICE FORMATION MECHANICS IN VIETNAM'S EQUITY MARKET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1.1  Market Price vs. Intrinsic 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 prices on HOSE/HNX/UPCOM are determined through a centralized order-matching mechanism, reflecting the instantaneous equilibrium between supply and demand at each trading session. However, in modern finance, Market Price (P) and Intrinsic Value (V) are fundamentally distinct concepts: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7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Price (P)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actual transaction price on the exchange, determined by real-time supply and demand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Psychology, expectations, short-term capital flows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Intrinsic Value (V)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true economic value of a business, calculated by discounting future cash flows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Quantitative models (DCF, P/E, P/B, EV/EBITDA...)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Gap between P and V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basis of investment decisions: P &lt; V → Buy | P &gt; V → Sell | P ≈ V → Hold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Fundamental Analysis (FA) + Technical Analysis (TA)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1.2  Trading Mechanism and Price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80"/>
        <w:gridCol w:w="4320"/>
        <w:gridCol w:w="2160"/>
      </w:tblGrid>
      <w:tr>
        <w:tc>
          <w:tcPr>
            <w:tcW w:type="dxa" w:w="1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16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Band</w:t>
            </w:r>
          </w:p>
        </w:tc>
        <w:tc>
          <w:tcPr>
            <w:tcW w:type="dxa" w:w="43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Mechanism</w:t>
            </w:r>
          </w:p>
        </w:tc>
        <w:tc>
          <w:tcPr>
            <w:tcW w:type="dxa" w:w="21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Hours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HOSE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±7% vs reference price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ATO 9:00 | Continuous 9:15–14:30 | ATC 14:30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 main sessions + negotiated deals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HNX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±10% vs reference price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ATO 9:00 | Continuous 9:15–14:30 | ATC 14:45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Similar to HOSE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UPCOM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±15% vs reference price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ATO/ATC — continuous matching only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9:00–11:30 and 13:00–14:45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BF8F00" w:sz="10"/>
              <w:left w:val="thick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Important Note — T+2 Settlement: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Securities purchased today (T) are credited to the account 2 business days later (T+2).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directly impacts the app's T+2 backtest logic (sessions_held = index_sell – index_buy).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time value of money (TVM) over T+2 represents an implicit opportunity cost that should be factored into return calculations.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1.3  Key Drivers of Stock Prices in Vietnam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20"/>
        <w:gridCol w:w="2240"/>
      </w:tblGrid>
      <w:tr>
        <w:tc>
          <w:tcPr>
            <w:tcW w:type="dxa" w:w="2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Group</w:t>
            </w:r>
          </w:p>
        </w:tc>
        <w:tc>
          <w:tcPr>
            <w:tcW w:type="dxa" w:w="51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2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Horizon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Company Fundamentals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EPS, ROE, revenue growth, free cash flow (FCF), debt structure, corporate governance quality</w:t>
            </w:r>
          </w:p>
        </w:tc>
        <w:tc>
          <w:tcPr>
            <w:tcW w:type="dxa" w:w="2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Medium–Long Term ★★★★★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Vietnam Macroeconomics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SBV policy rate, USD/VND exchange rate, CPI, bank credit growth, public investment, real estate regulations</w:t>
            </w:r>
          </w:p>
        </w:tc>
        <w:tc>
          <w:tcPr>
            <w:tcW w:type="dxa" w:w="2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Medium Term ★★★★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Global Factors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FED Funds Rate, WTI/Brent crude, HRC steel price, DXY index, S&amp;P 500, trade policy</w:t>
            </w:r>
          </w:p>
        </w:tc>
        <w:tc>
          <w:tcPr>
            <w:tcW w:type="dxa" w:w="2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Short–Medium Term ★★★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Sentiment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Institutional investor flows, foreign ownership room, price manipulation, VN30/VN-Index effect</w:t>
            </w:r>
          </w:p>
        </w:tc>
        <w:tc>
          <w:tcPr>
            <w:tcW w:type="dxa" w:w="2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Short Term ★★★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Technical / Capital Flows</w:t>
            </w:r>
          </w:p>
        </w:tc>
        <w:tc>
          <w:tcPr>
            <w:tcW w:type="dxa" w:w="5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SMA crossovers, RSI/MACD, support/resistance, volume indicators (OBV, volume ratio)</w:t>
            </w:r>
          </w:p>
        </w:tc>
        <w:tc>
          <w:tcPr>
            <w:tcW w:type="dxa" w:w="2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Short Term ★★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II — STOCK VALUATION METHODOLOGIES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2.1  Methodological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single valuation method is universally applicable. Best practice at major brokerages (SSI Research, VCSC, VPBankS, Mirae Asset Vietnam) combines multiple methods with sector-specific weightings. Each carries distinct assumptions suited to different contexts: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40"/>
        <w:gridCol w:w="2400"/>
        <w:gridCol w:w="2720"/>
      </w:tblGrid>
      <w:tr>
        <w:tc>
          <w:tcPr>
            <w:tcW w:type="dxa" w:w="1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Formula</w:t>
            </w:r>
          </w:p>
        </w:tc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Applied To</w:t>
            </w:r>
          </w:p>
        </w:tc>
        <w:tc>
          <w:tcPr>
            <w:tcW w:type="dxa" w:w="27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Limitation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DCF
(Discounted Cash Flow)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 = Σ FCFt/(1+WACC)^t + TV
TV = FCFn×(1+g)/(WACC−g)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Stable-growth companies with positive FCF</w:t>
            </w:r>
          </w:p>
        </w:tc>
        <w:tc>
          <w:tcPr>
            <w:tcW w:type="dxa" w:w="2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Extremely sensitive to WACC &amp; g; meaningless when EPS is negative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Relative P/E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 = EPS × Target P/E (sector median)
P/E target = peer group median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Most companies with stable earnings</w:t>
            </w:r>
          </w:p>
        </w:tc>
        <w:tc>
          <w:tcPr>
            <w:tcW w:type="dxa" w:w="2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Distorted by EPS volatility (cyclical sectors like steel)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Justified P/B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 = BVPS × (ROE / Ke)
Ke = Rf + β × ERP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Banks, real estate, asset-heavy businesses</w:t>
            </w:r>
          </w:p>
        </w:tc>
        <w:tc>
          <w:tcPr>
            <w:tcW w:type="dxa" w:w="2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BVPS may not capture intangible assets accurately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EV/EBITDA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 = Mkt Cap + Net Debt
V = (EV/EBITDA target × EBITDA − ND) / Shares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Steel, oil &amp; gas, infrastructure, M&amp;A</w:t>
            </w:r>
          </w:p>
        </w:tc>
        <w:tc>
          <w:tcPr>
            <w:tcW w:type="dxa" w:w="2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Ignores tax rate differences across peer companies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Graham Formula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 = √(22.5 × EPS × BVPS)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Conservative value investing, margin of safety</w:t>
            </w:r>
          </w:p>
        </w:tc>
        <w:tc>
          <w:tcPr>
            <w:tcW w:type="dxa" w:w="2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Outdated for high-growth companies (e.g., FPT)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DDM (Dividend Discount)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 = D1 / (Ke − g)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Banks, utilities with stable dividend history</w:t>
            </w:r>
          </w:p>
        </w:tc>
        <w:tc>
          <w:tcPr>
            <w:tcW w:type="dxa" w:w="2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 applicable to non-dividend-paying companies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SOTP
(Sum-of-the-Parts)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 = Σ (Value of each business unit)
Less holding company discount ~15–25%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Diversified conglomerates (VIC, MSN)</w:t>
            </w:r>
          </w:p>
        </w:tc>
        <w:tc>
          <w:tcPr>
            <w:tcW w:type="dxa" w:w="27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Complex; requires granular segment-level data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2.2  Sector-Normalized Valuation Benchmarks — Vietnam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00"/>
        <w:gridCol w:w="900"/>
        <w:gridCol w:w="1100"/>
        <w:gridCol w:w="2160"/>
        <w:gridCol w:w="2860"/>
      </w:tblGrid>
      <w:tr>
        <w:tc>
          <w:tcPr>
            <w:tcW w:type="dxa" w:w="14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9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Fwd P/E</w:t>
            </w:r>
          </w:p>
        </w:tc>
        <w:tc>
          <w:tcPr>
            <w:tcW w:type="dxa" w:w="9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P/B</w:t>
            </w:r>
          </w:p>
        </w:tc>
        <w:tc>
          <w:tcPr>
            <w:tcW w:type="dxa" w:w="11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EV/EBITDA</w:t>
            </w:r>
          </w:p>
        </w:tc>
        <w:tc>
          <w:tcPr>
            <w:tcW w:type="dxa" w:w="21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Methods</w:t>
            </w:r>
          </w:p>
        </w:tc>
        <w:tc>
          <w:tcPr>
            <w:tcW w:type="dxa" w:w="28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Banking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8–12×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1.0–2.5×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P/B + DDM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 Cost of Equity per Basel III framework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15–25×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1.5–4.0×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12–18×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NAV + P/B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Apply 10–20% discount to audited NAV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Technology (IT)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20–30×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4.0–8.0×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15–25×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DCF + P/E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Premium for ARR/MRR if SaaS-type revenue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Steel / Cyclicals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10–15×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1.0–1.8×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6–10×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EV/EBITDA + P/B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 mid-cycle EPS, not peak earnings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Oil &amp; Gas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10–18×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1.2–2.5×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5–8×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NAV + EV/EBITDA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Highly sensitive to WTI crude price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Utilities / Power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12–18×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1.5–3.0×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8–12×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DCF + DDM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Stable cash flows support long-term DCF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Retail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15–22×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2.0–5.0×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10–15×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P/E + EV/EBITDA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Peer set: MWG, FRT, PNJ</w:t>
            </w:r>
          </w:p>
        </w:tc>
      </w:tr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Aviation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1.0–3.0×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8–15×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EV/EBITDA + P/B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Post-COVID normalization still in progress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2.3  WACC and Cost of Equity Parameters for Vietnam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F6BB0" w:sz="10"/>
              <w:left w:val="thick" w:color="1F6BB0" w:sz="16"/>
              <w:bottom w:val="single" w:color="1F6BB0" w:sz="1"/>
              <w:right w:val="single" w:color="1F6BB0" w:sz="1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6BB0"/>
                <w:sz w:val="22"/>
                <w:szCs w:val="22"/>
              </w:rPr>
              <w:t xml:space="preserve">Standard Parameters (Q1/2026):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Risk-Free Rate (Rf): 4.5–5.5% — 10-year Vietnamese Government Bond yield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Vietnam Equity Risk Premium (ERP): 7.0–8.5% (higher than developed markets at ~4–5%)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Beta: Banking ~0.85–1.05 | Steel ~1.20–1.50 | Technology ~0.90–1.10 | Real Estate ~1.00–1.40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of Debt (Kd): 8–12% (depending on credit rating and tenor)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Typical WACC Range: 11–14% | Country Risk Premium (CRP): +1.5–2.5%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Growth Rate (g): 3–5% (aligned with Vietnam's long-term GDP growth trajectory)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2.4  Standard 5-Step Valuation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 &amp; Sector Analysis: </w:t>
      </w:r>
      <w:r>
        <w:rPr>
          <w:rFonts w:ascii="Arial" w:cs="Arial" w:eastAsia="Arial" w:hAnsi="Arial"/>
          <w:sz w:val="22"/>
          <w:szCs w:val="22"/>
        </w:rPr>
        <w:t xml:space="preserve">Identify the business cycle phase, impact of FED/SBV policy, global commodity prices, and 2–3 year sector outlook.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Fundamental Analysis: </w:t>
      </w:r>
      <w:r>
        <w:rPr>
          <w:rFonts w:ascii="Arial" w:cs="Arial" w:eastAsia="Arial" w:hAnsi="Arial"/>
          <w:sz w:val="22"/>
          <w:szCs w:val="22"/>
        </w:rPr>
        <w:t xml:space="preserve">Review 3–5 years of financial statements. Calculate ROE, ROIC, FCF yield, D/E ratio, interest coverage. Assess earnings quality via Accruals Ratio.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Projections: </w:t>
      </w:r>
      <w:r>
        <w:rPr>
          <w:rFonts w:ascii="Arial" w:cs="Arial" w:eastAsia="Arial" w:hAnsi="Arial"/>
          <w:sz w:val="22"/>
          <w:szCs w:val="22"/>
        </w:rPr>
        <w:t xml:space="preserve">Estimate EPS/FCF for the next 2–3 years. Use normalized (mid-cycle) EPS for cyclical sectors, not peak or trough earnings.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Multi-Method Valuation: </w:t>
      </w:r>
      <w:r>
        <w:rPr>
          <w:rFonts w:ascii="Arial" w:cs="Arial" w:eastAsia="Arial" w:hAnsi="Arial"/>
          <w:sz w:val="22"/>
          <w:szCs w:val="22"/>
        </w:rPr>
        <w:t xml:space="preserve">Compute DCF, P/E, P/B, and EV/EBITDA separately, then apply sector-specific weighted averaging. Run sensitivity analysis (bull/base/bear scenarios).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Investment Recommendation: </w:t>
      </w:r>
      <w:r>
        <w:rPr>
          <w:rFonts w:ascii="Arial" w:cs="Arial" w:eastAsia="Arial" w:hAnsi="Arial"/>
          <w:sz w:val="22"/>
          <w:szCs w:val="22"/>
        </w:rPr>
        <w:t xml:space="preserve">Compare blended target price against the current market price. Adjust for governance, liquidity, and idiosyncratic risk discounts/premiums. Identify catalysts and key risks.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III — CASE STUDIES: VIC · FPT · HPG</w:t>
      </w:r>
    </w:p>
    <w:p>
      <w:pPr>
        <w:shd w:fill="1A3A5C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VINGROUP (VIC) — Diversified Conglomerate / Real Estate + EV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Financial Data 2025 (Audited/Disclosed)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43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Commentary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Price (T+0)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~164,800 VND/share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cap ~VND 1,166 trillion — #1 on HOSE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Revenue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332,770 bn (+76% YoY)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All-time record; driven primarily by Vinhomes + VinFast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Profit After Tax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11,146 bn (+111% YoY)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Beat plan; however net margin is only ~3.3%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EPS TTM (Q3/2025)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~1,147 VND/share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Depressed as VinFast remains in cash-burn phase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ROE / ROA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5.55% / 0.95%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Far below VN benchmark (avg ~12–15% ROE)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P/B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~9.15×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Exceeds 5-year avg 2.39× and sector avg 3.59×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 Borrowings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~VND 239,571 bn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Very high D/E; VinFast financial lease obligations surging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~11.4%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 for a conglomerate of this scale — VinFast manufacturing costs drag it down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Multi-Method Valuation — VIC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040"/>
        <w:gridCol w:w="156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  <w:tc>
          <w:tcPr>
            <w:tcW w:type="dxa" w:w="20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  <w:tc>
          <w:tcPr>
            <w:tcW w:type="dxa" w:w="1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Relative P/E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EPS ~1,147 VND × Target P/E ~20× (tech/RE premium)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~22,940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Justified P/B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BVPS ~18,000 VND × Justified P/B 3.5× (RE sector)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~63,000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DCF (Vinhomes segment)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FCF ~VND 18,000 bn/yr, WACC 12%, g=5%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~85,000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SOTP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Vinhomes NAV + Vinpearl DCF + VinFast EV/Sales 1.5×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~75,000–100,000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BLENDED TARGET PRICE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Weighted average of 4 methods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~72,000–88,000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Market Price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March 09, 2026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164,800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Valuation Assessment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OVERVALUED ~87–128%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00000" w:sz="10"/>
              <w:left w:val="thick" w:color="C00000" w:sz="16"/>
              <w:bottom w:val="single" w:color="C00000" w:sz="1"/>
              <w:right w:val="single" w:color="C00000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Investment Thesis — VIC: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VIC's market price bears no relationship to fundamental value — this is a PURE SPECULATIVE PLAY on future expectations.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P/B of 9.15× vs. justified ~3.5× implies the market is pricing in: (a) VinFast reaching break-even by Q4/2026, (b) Vinhomes sustaining record-breaking sales velocity.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institutional investors have been consistently NET SELLERS — a strong red flag on valuation grounds.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catalysts to justify the current price: VinFast break-even; new Vinhomes mega-projects; foreign ownership cap lifted.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Recommendation: SPECULATIVE — not suitable for value-oriented or margin-of-safety investors.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7E45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FPT CORPORATION — Information Technology / IT Services &amp; Telecom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Financial Data 2025 (Officially Disclosed)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43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Commentary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Price (T+0)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~84,000 VND/share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Down ~44% from peak ~150,000 VND (early 2025)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Revenue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70,113 bn (+11.6% YoY)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On-track with guidance; international IT segment +14.3%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Pre-Tax Profit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13,039 bn (+17.8% YoY)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5th consecutive year of double-digit profit growth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EPS 2025 (Reported)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5,211 VND/share (+21% YoY)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Based on ~1.796 bn shares post stock split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ROE / ROA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27.48% / 13.86%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Top quartile in Southeast Asia among IT services firms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Profit Margin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~13.4%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Stable; international IT margin ~15.5%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New IT Contracts Signed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40,636 bn (~$1.5 bn) +23%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Record backlog — exceptional revenue visibility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Charter Capital (Aug 2025)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17,035 bn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capital raise; must use updated share count for EPS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Multi-Method Valuation — FPT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040"/>
        <w:gridCol w:w="156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  <w:tc>
          <w:tcPr>
            <w:tcW w:type="dxa" w:w="20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  <w:tc>
          <w:tcPr>
            <w:tcW w:type="dxa" w:w="1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Relative P/E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EPS 2025 = 5,211 VND; EPS 2026F ~6,300 VND × Target P/E 20–25× (IT services)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~105,000–126,000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DCF (IT Segment)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FCF 2025E ~VND 7,500 bn; WACC 10.5%; g years 1–5 = 18%; terminal g = 5%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~108,000–130,000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Justified P/B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BVPS ~25,000 VND; ROE 27.5%; Ke ~12% → P/B = 2.3×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~57,500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EV/EBITDA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EBITDA ~VND 9,500 bn; EV/EBITDA peer 15–20× (Infosys, EPAM); less net debt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~95,000–120,000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BLENDED TARGET PRICE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Weighted average of 4 methods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~100,000–122,000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Sell-side Consensus (8 analysts)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 140,435 VND | Median ~119,086 VND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~119,000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Market Price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March 09, 2026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84,000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Valuation Assessment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UNDERVALUED ~19–46%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E7E45" w:sz="10"/>
              <w:left w:val="thick" w:color="1E7E45" w:sz="16"/>
              <w:bottom w:val="single" w:color="1E7E45" w:sz="1"/>
              <w:right w:val="single" w:color="1E7E45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7E45"/>
                <w:sz w:val="22"/>
                <w:szCs w:val="22"/>
              </w:rPr>
              <w:t xml:space="preserve">Investment Thesis — FPT: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FPT is Vietnam's highest-quality listed company — combining: sustained growth (ROE 27%+), record contract backlog, and a global AI/Cloud investment super-cycle tailwind.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~84,000 VND price (March 2026) reflects a 44% correction from the 150,000 VND peak — creating a compelling accumulation zone for long-term investors.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risks: (1) JPY/USD exchange rate (30%+ revenue from Japan); (2) Indian outsourcing competition; (3) US tariffs indirectly impacting key enterprise clients.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Catalysts 2026: $256M Asia energy firm contract; Japan AI Factory reaching full capacity; MSCI Emerging Markets inclusion.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Recommendation: BUY — 12-month target price 110,000–122,000 VND (+31–45%).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C55A11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HOA PHAT GROUP (HPG) — Steel / Industrial Cyclical Conglomerate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Financial Data 2025 (Officially Disclosed)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432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432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Commentary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Price (T+0)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~27,700 VND/share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52-week range: 17,750–30,850 VND; at 59% of the range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Revenue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158,332 bn (+13% YoY)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93% of plan; steel accounts for 94% of revenue mix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Profit After Tax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VND 15,515 bn (+29% YoY)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Beat plan by 3%; Q4 surged +38% YoY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Estimated EPS 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~2,022 VND/share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15,515 bn / 7.675 bn shares outstanding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ROE / ROA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~14% / ~6.5%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Recovering from 2023 cycle trough; EBITDA/Interest = 12.4×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Gross Margin Q2/2025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18.4% — highest since Q1/2022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HRC spread widened; iron ore/coking coal costs declined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Dung Quat 2 — Phase 2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Blast furnace #2 commissioned Oct 2025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Additional ~500K tonnes HRC/year; major 2026 catalyst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Foreign Ownership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22.6%</w:t>
            </w:r>
          </w:p>
        </w:tc>
        <w:tc>
          <w:tcPr>
            <w:tcW w:type="dxa" w:w="4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Expected sharp increase upon Vietnam MSCI upgrade (Sep 2026)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Multi-Method Valuation — HPG (Using Mid-Cycle Normalized 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040"/>
        <w:gridCol w:w="156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  <w:tc>
          <w:tcPr>
            <w:tcW w:type="dxa" w:w="20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  <w:tc>
          <w:tcPr>
            <w:tcW w:type="dxa" w:w="1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EV/EBITDA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EBITDA 2025E ~VND 26,000 bn; target EV/EBITDA 8× (SEA steel comps); less net debt ~VND 30,000 bn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~31,000–37,000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Mid-Cycle P/E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Normalized EPS ~2,200 VND (mid-cycle, not peak earnings); target P/E 15×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~33,000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Justified P/B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BVPS ~19,000 VND; mid-cycle ROE ~16%; Ke ~12% → P/B = 1.33×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~25,270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DCF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FCF 2026F ~VND 12,000 bn (Dung Quat 2 full ramp); WACC 11.5%; terminal g = 4%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~34,000–40,000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BLENDED TARGET PRICE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Weighted average of 4 methods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~31,000–36,000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Latest Consensus (SBBS, Nov 2025)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BUY — Target 35,900 VND; upside +29%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~31,300–35,900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Market Price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March 09, 2026</w:t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B0"/>
                <w:sz w:val="20"/>
                <w:szCs w:val="20"/>
              </w:rPr>
              <w:t xml:space="preserve">27,700 VND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Valuation Assessment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UNDERVALUED ~12–30%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BF8F00" w:sz="10"/>
              <w:left w:val="thick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Investment Thesis — HPG: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HPG is a cyclical stock — standalone P/E is misleading. EV/EBITDA and mid-cycle P/B deliver more stable, internationally comparable results.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Dung Quat 2 (blast furnace #2 commissioned Oct 2025) is a quantifiable catalyst: +~500K tonnes/year → incremental EBITDA of ~VND 4,000–5,000 bn at full capacity in 2026.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North-South High-Speed Railway project: HPG is Vietnam's only domestic rail producer, with direct demand exposure from 2027.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 risks: (1) Global protectionism (US + EU anti-dumping duties); (2) China steel overcapacity; (3) Strong USD raising iron ore/coking coal import costs.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MSCI Emerging Markets upgrade catalyst (Sep 2026): estimated $425 million inflow targeting HPG.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Recommendation: BUY — 12-month target price 33,000–36,000 VND (+19–30%).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3.4  Comparative Summary — VIC vs FPT vs HPG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86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VIC</w:t>
            </w:r>
          </w:p>
        </w:tc>
        <w:tc>
          <w:tcPr>
            <w:tcW w:type="dxa" w:w="2386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FPT</w:t>
            </w:r>
          </w:p>
        </w:tc>
        <w:tc>
          <w:tcPr>
            <w:tcW w:type="dxa" w:w="2388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Stock Category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Conglomerate / Speculative Growth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Quality Growth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Cyclical Industrial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EPS 2025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~1,147 VND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5,211 VND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~2,022 VND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ROE 2025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5.55%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27.48%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~14%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P/B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~9.15× (very high)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~3.2× (reasonable)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~1.45× (low)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P/E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100×+ (distorted)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~16.1× (cheap vs growth)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~13.7× (attractive)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Upside vs Fair Value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OVERVALUED ~87–128%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UNDERVALUED ~19–46%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UNDERVALUED ~12–30%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Best Valuation Method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SOTP + P/B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DCF + Growth P/E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EV/EBITDA + Mid-Cycle P/B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Risk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VinFast burn rate, high D/E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JPY exchange rate, competition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Steel prices, global tariffs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SPECULATIVE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BUY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BUY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Suitable Investor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 risk tolerance, long-term</w:t>
            </w:r>
          </w:p>
        </w:tc>
        <w:tc>
          <w:tcPr>
            <w:tcW w:type="dxa" w:w="2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Medium–long term, FA-oriented</w:t>
            </w:r>
          </w:p>
        </w:tc>
        <w:tc>
          <w:tcPr>
            <w:tcW w:type="dxa" w:w="238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Medium-term, cycle-aware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IV — APP ASSESSMENT &amp; ENHANCEMENT PROPOSALS</w:t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4.1  Current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80"/>
        <w:gridCol w:w="1680"/>
      </w:tblGrid>
      <w:tr>
        <w:tc>
          <w:tcPr>
            <w:tcW w:type="dxa" w:w="5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68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4-method valuation model (DCF 35%, P/E 30%, P/B 20%, Graham 15%)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Correctly aligned with Vietnam brokerage best practice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pipeline: DNSE → SSI → CafeF → TCBS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Solid fault-tolerant architecture; DNSE v2 as P1 is the right call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fetch_dnse_ohlc_analysis() — technical fallback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Solves a critical problem when TCBS/VNDirect are unavailable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score_technical_risk() — 5-dimension risk scoring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Standard international structure (Debt/Liquidity/Profitability/Growth/Valuation)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World Markets Tab + macro impact analysis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Rare among Vietnam market apps to integrate global macro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5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SSI iBoard Financial APIs integrated</w:t>
            </w:r>
          </w:p>
        </w:tc>
        <w:tc>
          <w:tcPr>
            <w:tcW w:type="dxa" w:w="24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Confirmed working endpoints; finance-indicator is data-rich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7/10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4.2  Critical Issues to Address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Issue 1 — Sector P/E Not Adjusted for Business Cycles [HIGH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SECTOR_PE constants are currently hardcoded. For cyclical stocks like HPG, applying P/E at cycle peak (high EPS, low P/E) or trough (low EPS, inflated P/E) produces completely erroneous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 brokerages (Morgan Stanley, VCSC) use normalized EPS = 5-year rolling average EPS to compute mid-cycle P/E.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current gross margin exceeds 5-year average by &gt;200bps, discount the target P/E by 15–20%.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Proposed code: compute rolling 5Y EPS average from TCBS financials or SSI finance-indicator historical data.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Issue 2 — DCF &amp; P/E Break with Negative or Near-Zero EPS (VIC, pre-profit startups) [HIGH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compute_dcf_valuation() returns negative or meaningless values when FCF is negative (VIC, due to VinFast cash burn). Similarly, compute_pe_valuation() yields P/E &gt; 100× — generating phantom target prices.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1: Auto-detect EPS &lt; 0 or P/E &gt; 80× → disable P/E and DCF, activate SOTP/EV-Sales instead.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2: For conglomerates detected via SECTOR_MAP ('Diversified'), add a SOTP skeleton covering 3 primary business segments.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explicit warning when EPS is negative: 'Negative EPS — valuation based on P/S and P/B' instead of outputting meaningless figures.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Issue 3 — Banks Should Not Use P/E or DCF [HIGH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Banks (ACB, VCB, TCB, BID) are fundamentally different: revenue from NIM, equity capital is the primary production input, and EBITDA is economically meaningless. International standard uses P/B + ROE/Ke framework and DDM.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Method</w:t>
            </w:r>
          </w:p>
        </w:tc>
        <w:tc>
          <w:tcPr>
            <w:tcW w:type="dxa" w:w="3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Method for Banks</w:t>
            </w:r>
          </w:p>
        </w:tc>
        <w:tc>
          <w:tcPr>
            <w:tcW w:type="dxa" w:w="3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FCF-based DCF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DDM: P = D1 / (Ke − g)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 FCF is not equivalent to dividend-paying capacity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EV/EBITDA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Justified P/B: P/B = ROE / Ke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 EBITDA has no economic meaning in credit analysis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Fixed P/E of 10×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Variable P/E: P/E = P/B × (1/(EPS/BVPS))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 ROE fluctuates with the credit cycle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Proposal: When get_sector(ticker) == 'Banking' → use P/B + DDM and display Cost of Equity clearly.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Issue 4 — EPS Not Adjusted Post Stock-Split / Capital Raise [MEDIUM PRIORITY]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FPT raised charter capital in August 2025 to VND 17,035 bn (adding ~1.47 bn new shares). If EPS is fetched from TCBS without adjusting for the new share count, EPS will be overstated, inflating DCF target prices.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Proposal: Fetch shares_outstanding from SSI /cap-and-dividend endpoint → compute real EPS = NPAT / latest shares_outstanding.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validation: if API EPS &gt; 2× computed EPS from NPAT/shares → flag 'EPS data may not be split-adjusted'.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Issue 5 — Macro Overlay Not Connected to Recommendation Scores [MEDIUM PRIORITY]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Factor</w:t>
            </w:r>
          </w:p>
        </w:tc>
        <w:tc>
          <w:tcPr>
            <w:tcW w:type="dxa" w:w="3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Specific Tickers</w:t>
            </w:r>
          </w:p>
        </w:tc>
        <w:tc>
          <w:tcPr>
            <w:tcW w:type="dxa" w:w="3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Adjustment Direction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DXY &gt; 106 (strong USD)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HPG: higher iron ore/coal import costs → margin compression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HPG: −5 pts valuation score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WTI Oil &gt; $85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HPG (coking coal proxy); PVS, BSR, OIL beneficiaries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PVS/BSR: +5 pts | HPG: −3 pts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FED rate sharp hike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 tickers: higher WACC → lower DCF values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All: −3 to −8 pts by beta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S&amp;P 500 drops &gt;3%/day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VN-Index correlation ~0.6 → selling pressure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Risk score +2 pts for all tickers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Issue 6 — SSI Finance-Indicator API Underutilized [HIGH PRIORITY]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https://iboard-api.ssi.com.vn/statistics/company/ssmi/finance-indicator?symbol=ACB&amp;page=1&amp;pageSize=1000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Returns: ROE, ROA, P/E, P/B, EPS, BVPS, gross margin, net margin, D/E, current ratio, quick ratio — per quarter, multi-year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Proposal: Create fetch_ssi_financials(ticker) as P2 fundamentals source, replacing TCBS when returning 404.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Issue 7 — CafeF Financial APIs Underexploited [MEDIUM PRIORITY]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https://cafef.vn/du-lieu/Ajax/PageNew/ChiSoTaiChinh.ashx?Symbol=FPT — Full financial ratios (P/E, P/B, ROE, ROA, EPS, BVPS, D/E by quarter)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https://cafef.vn/du-lieu/Ajax/PageNew/PriceRealTimeHeader.ashx?Symbol=FPT — Real-time price and volume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https://cafef.vn/du-lieu/Ajax/PageNew/CoCauSoHuu.ashx?Symbol=FPT — Shareholder structure (foreign, state, insider)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Proposal: Integrate all 3 endpoints into render_stock_profiler_tab() as tertiary fallback when both SSI and TCBS fail.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4.3  Enhancement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00"/>
        <w:gridCol w:w="1040"/>
        <w:gridCol w:w="1000"/>
        <w:gridCol w:w="2360"/>
      </w:tblGrid>
      <w:tr>
        <w:tc>
          <w:tcPr>
            <w:tcW w:type="dxa" w:w="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Proposal</w:t>
            </w:r>
          </w:p>
        </w:tc>
        <w:tc>
          <w:tcPr>
            <w:tcW w:type="dxa" w:w="104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Integrate SSI finance-indicator as P2 fundamentals source (replacing TCBS)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Very high — resolves core data gaps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Auto-detect negative EPS / P/E &gt; 80× → fallback to SOTP/EV-Sales + warning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 — fixes erroneous output for VIC-type stocks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Sector-aware: Banking → P/B + DDM; disable DCF and EV/EBITDA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 — industry-standard sector alignment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Integrate CafeF ChiSoTaiChinh.ashx + CoCauSoHuu.ashx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 — strong data fallback coverage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EPS normalization using shares_outstanding from SSI /cap-and-dividend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 — fixes split/capital raise distortions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Macro overlay from World Markets tab → adjust valuation/risk scores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 — key differentiator, professional-grade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Cyclical P/E adjustment: use 5Y rolling avg EPS for steel/oil sectors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 — prevents cycle-induced valuation errors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SOTP skeleton for conglomerates (VIC, MSN): 3 segments + holding discount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 — niche but significantly more accurate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 REE, ACB to smoke test suite (multi-exchange, multi-sector testing)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Very Low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 — QA coverage</w:t>
            </w:r>
          </w:p>
        </w:tc>
      </w:tr>
      <w:tr>
        <w:tc>
          <w:tcPr>
            <w:tcW w:type="dxa" w:w="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Display sensitivity table (bull/base/bear) in Valuation sub-tab</w:t>
            </w:r>
          </w:p>
        </w:tc>
        <w:tc>
          <w:tcPr>
            <w:tcW w:type="dxa" w:w="10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 — professional UX upgrade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6BB0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F6BB0"/>
          <w:sz w:val="28"/>
          <w:szCs w:val="28"/>
        </w:rPr>
        <w:t xml:space="preserve">4.4  Long-Term Architecture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A3A5C" w:sz="10"/>
              <w:left w:val="thick" w:color="1A3A5C" w:sz="16"/>
              <w:bottom w:val="single" w:color="1A3A5C" w:sz="1"/>
              <w:right w:val="single" w:color="1A3A5C" w:sz="1"/>
            </w:tcBorders>
            <w:shd w:fill="EE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Vision: Captain Seventh QUANT TERMINAL — Professional-Grade Analytics Standard for Vietnam's Market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1 — Data Ingestion: DNSE (OHLC) + SSI (Financials) + CafeF (Fallback) + Stooq/FRED (Global Macro)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2 — Analytics Engine: Sector-aware valuation → Fundamental scoring → Technical overlay → Macro adjustment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3 — Recommendation: Composite Score (0–100) → Label (STRONG BUY/BUY/HOLD/SELL) + Detailed Thesis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4 — Risk Management: T+2 Backtest + ATR Stop + Portfolio-level correlation (VIC vs FPT vs HPG)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5 — ML Forecast: 7-model ensemble + World market correlation as external regressors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output quality: Equivalent to a VCSC or SSI Research analyst report — sufficient for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financially literate retail investor to read and make well-informed, evidence-based decisions.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before="36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V —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Lesson</w:t>
            </w:r>
          </w:p>
        </w:tc>
        <w:tc>
          <w:tcPr>
            <w:tcW w:type="dxa" w:w="6560"/>
            <w:gridSpan w:val="1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Insight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One model does not fit all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P/E for FPT (growth) ≠ EV/EBITDA for HPG (cyclical) ≠ SOTP for VIC (conglomerate). Sector understanding must precede model selection.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price can diverge sharply from intrinsic value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VIC trades ~90–130% above fair value — a risk, not an opportunity. FPT trades ~30–45% below fair value — a genuine opportunity with margin of safety.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Verified data is the foundation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FPT's officially reported EPS of 5,211 VND for 2025 delivers far more reliable valuation outputs than estimates built on APIs returning 404 errors.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Macro cannot be ignored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FED rates, DXY, and global HRC prices directly affect WACC and profit margins. A Vietnam market analytics app missing global macro sees only half the picture.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Margin of Safety is the golden rule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Benjamin Graham: only buy when P &lt; 70% of intrinsic value. FPT at ~84,000 VND with fair value ~110,000 VND → margin of safety ~23% — disciplined investment territory.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808080" w:sz="10"/>
              <w:left w:val="thick" w:color="808080" w:sz="16"/>
              <w:bottom w:val="single" w:color="808080" w:sz="1"/>
              <w:right w:val="single" w:color="808080" w:sz="1"/>
            </w:tcBorders>
            <w:shd w:fill="D9D9D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08080"/>
                <w:sz w:val="22"/>
                <w:szCs w:val="22"/>
              </w:rPr>
              <w:t xml:space="preserve">Disclaimer: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is prepared for educational and methodological illustration purposes only, and does not constitute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 advice. Financial data is based on results disclosed through Q4/2025 and brokerage estimates;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prices are indicative as of March 09, 2026. Securities investment always carries risk — investors should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conduct their own due diligence or consult a licensed professional before making investment decisions.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Captain Seventh QUANT TERMINAL  |  March 2026  |  Vietnam Market Research</w:t>
            </w:r>
          </w:p>
        </w:tc>
      </w:tr>
    </w:tbl>
    <w:p>
      <w:pPr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Captain Seventh QUANT TERMINAL  |  March 2026  |  Vietnam Equity Research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6B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2026-03-09T02:11:23.884Z</dcterms:created>
  <dcterms:modified xsi:type="dcterms:W3CDTF">2026-03-09T02:11:23.885Z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