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Evaluative Analysis of the Captain Seventh QUANT TERMINAL v28.0: A Multi-Disciplinary Review of Quantitative Performance in the Vietnamese Equities Market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Vietnamese financial ecosystem has transitioned into a pivotal era characterized by institutional maturation, technological overhaul, and a rigorous alignment with international capital market standards.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this context, the Captain Seventh QUANT TERMINAL v28.0 emerges as a sophisticated, programmatic attempt to synthesize real-time data streaming, fundamental valuation, and stochastic forecasting for a market currently navigating the complexities of the KRX system implementation and the pursuit of FTSE Emerging Market status.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board, representing the apex of academic and professional expertise in Computational Finance, Quantitative Trading, Economics, and Computer Science, has performed an exhaustive audit of the terminal's architecture, underlying mathematical models, and market alignment. The following report details our findings, articulating the precision of the current implementation while proposing systemic adjustments to elevate the platform to a standard commensurate with global institutional requirements.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Data Architecture and Pipeline Integrity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realm of computer science and high-frequency data processing, the reliability of a quantitative platform is inextricably linked to its data ingestion layer. The v28.0 terminal employs a multi-source pipeline involving DNSE for initial scans, SSI for real-time price feeds (SSI-RT), and TCBS for fundamental financial statement data via the tcanalysis API.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tiered approach reflects a nuanced understanding of the Vietnamese data landscape, where discrepancies between data providers are a frequent source of "alpha decay" and erroneous signals.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Ingestion and the KRX Paradigm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 SSI-RT live price feed is a critical strength, particularly as the Vietnamese market moves toward shorter settlement cycles and increased throughput enabled by the KRX infrastructure.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Our analysis of the code confirms that the terminal utilizes these real-time streams to power the "Smart Signals" and "Market Scanner" modules, providing a necessary low-latency edge for swing traders operating in a market prone to sudden "volatility spikes".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as the market matures, the dependence on external APIs like VNDirect's FINFO for intrinsic value calculation introduces a latency risk and a potential single-point-of-failure.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board recommends a more resilient architecture that caches fundamental data locally, refreshing it periodically to ensure that intraday technical scans are not throttled by API rate limits or connection instability during peak trading hours.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Alignment with Local Microstructure and Settlement Logic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the most impressive features identified in the v28.0 source code is its explicit accommodation of the Vietnamese T+2 settlement cycle.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many quantitative tools are built on universal templates that assume T+0 or T+1 liquidity, this terminal includes a dedicated "Backtest T+2" module and defines its short-term horizon as "Ngắn hạn (T+2, 1-5 ngày)".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reflects the reality that for a Vietnamese trader, a "buy" signal on Monday does not result in tradable liquidity until Wednesday afternoon, creating a structural delay that must be accounted for in momentum calculations and risk management.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Microstructure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v28.0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Institutional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Settlement 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Dedicated T+2 Backtest Tab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Alignment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Liquidity Filter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Threshold &gt; 1 billion VND/day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Necessary for Slippage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Market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Integrated SSI-RT feed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Performance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Pre-funding (NPF)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Not explicitly calculated in risk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Emerging Requirement</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toward a Non-Prefunding (NPF) model for foreign institutional investors, as mandated by Circular 68/2024/TT-BTC and updated by Circular 18/2025/TT-BTC, represents a major structural shift in Vietnamese trading mechanics.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current terminal logic focuses on the domestic retail and semi-professional experience but lacks a module to monitor "Settlement Failure Risk," which carries significant penalties under the new regulations, including a 7-day suspension for institutional violators.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Valuation Methodologies: A Computational Finance Audit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terminal implements four primary valuation pillars: tech-implied Discounted Cash Flow (DCF), the Graham Proxy, Sector P/E comparison, and P/B analysis.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models are designed to provide an "intrinsic value anchor," mitigating the risk of "chasing" overextended price action.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"Tech-Implied" DCF and the Pro-Cyclical Bias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DCF module utilizes the standard iterative summation of Free Cash Flows (FCF) discounted by a Weighted Average Cost of Capital (WACC).</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72490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72490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v28.0 implementation, growth rates (</w:t>
      </w:r>
      <w:r w:rsidDel="00000000" w:rsidR="00000000" w:rsidRPr="00000000">
        <w:rPr>
          <w:rFonts w:ascii="Google Sans" w:cs="Google Sans" w:eastAsia="Google Sans" w:hAnsi="Google Sans"/>
          <w:color w:val="1f1f1f"/>
        </w:rPr>
        <w:drawing>
          <wp:inline distB="19050" distT="19050" distL="19050" distR="19050">
            <wp:extent cx="94622" cy="24019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4622" cy="240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"tech-implied," meaning they are programmatically derived from historical CAGR data found in the "Financials" sub-tab.</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this ensures a seamless user experience, the board identifies a significant "pro-cyclical skew." In an emerging economy like Vietnam, which saw a 2025 GDP surge of 8.2%, historical growth rates are often inflated by short-term macroeconomic tailwinds.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Using these rates without an "Economic Regime Filter" leads to valuations that may be overly optimistic for cyclical industries such as real estate (e.g., Vinhomes) or construction materials (e.g., Hoa Phat Group).</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terminal does not appear to ingest live interest rate data from the State Bank of Vietnam (SBV). In the Mankiw framework of classical economics, the real interest rate (</w:t>
      </w:r>
      <w:r w:rsidDel="00000000" w:rsidR="00000000" w:rsidRPr="00000000">
        <w:rPr>
          <w:rFonts w:ascii="Google Sans" w:cs="Google Sans" w:eastAsia="Google Sans" w:hAnsi="Google Sans"/>
          <w:color w:val="1f1f1f"/>
        </w:rPr>
        <w:drawing>
          <wp:inline distB="19050" distT="19050" distL="19050" distR="19050">
            <wp:extent cx="88232" cy="26469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8232" cy="2646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crucial determinant of investment demand and the discounting of future assets.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With the SBV maintaining a policy rate of 4.5% and deposit rates expected to rise by 40-60 basis points in 2026, the cost of capital in Vietnam is a dynamic variable that the terminal treats as a static parameter.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Graham Proxy and Defensive Value in Vietnam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terminal adopts the Benjamin Graham formula for defensive investors, employing the hardcoded constant of 22.5.</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46869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05500" cy="46869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formula remains highly relevant in the Vietnamese context, where the VN-Index P/E ratio frequently trades between 13x and 16x.</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the board notes that the 22.5 constant assumes a mature market risk profile. Vietnam, despite its imminent upgrade, still carries idiosyncratic risks related to transparency and "asymmetric information".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professional adjustment would involve a "Vietnam Risk Multiple" (</w:t>
      </w:r>
      <w:r w:rsidDel="00000000" w:rsidR="00000000" w:rsidRPr="00000000">
        <w:rPr>
          <w:rFonts w:ascii="Google Sans" w:cs="Google Sans" w:eastAsia="Google Sans" w:hAnsi="Google Sans"/>
          <w:color w:val="1f1f1f"/>
        </w:rPr>
        <w:drawing>
          <wp:inline distB="19050" distT="19050" distL="19050" distR="19050">
            <wp:extent cx="291938" cy="23497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91938" cy="2349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dynamically adjusts the 22.5 constant based on the current 10-year Treasury yield and sectoral risk premiums. Currently, the model provides an accurate "conservative floor" for value stocks but is "incorrectly restrictive" for high-growth sectors like technology (FPT) or the evolving electric vehicle (EV) sector, where book values are often depressed by high R&amp;D investment.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Sector-Relative P/E and P/B Benchmarking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"Sector P/E" module identifies intrinsic value through comparison with peers.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is a standard and effective heuristic in the Vietnamese market, where "herding behavior" often causes an entire sector to be rerated simultaneously.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terminal’s logic is particularly effective for the banking sector, where P/B ratios are the primary gauge of value.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 2025, banking stocks benefited from stable credit growth and improved loan quality, a trend correctly captured by the terminal's financial ratio analysis.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Valuation Sensitivity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Terminal Accuracy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P/B Sensitivity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 Estate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Asset Quality / Land Bank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Medium (requires Deep Audit)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Technology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Forward P/E / R&amp;D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(skews too conservative)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Manufacturing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Export/Currency Sensitivity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r>
    </w:tbl>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Forecasting: Ensemble Intelligence and Stochastic Modeling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distinguishing feature of the v28.0 terminal is its use of "Ensemble Forecasting," which aggregates predictions from Linear Regression, Holt-Winters exponential smoothing, and Monte Carlo (MC) simulations.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Monte Carlo Simulations and the Non-Gaussian Reality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inclusion of Monte Carlo simulations represents a significant leap toward institutional-grade risk assessment. By generating thousands of potential price paths based on historical volatility, the terminal can estimate the probability of a stock reaching its target price within the 5-day to 6-month horizons.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our academic review of the VN-Index returns during the 2025 "Trade War 2.0" cycle reveals that market behavior is rarely Gaussian.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Statistical 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VN-Index Observation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Terminal Modeling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Distribution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Leptokurtic (Fat Tails)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Simple MC may underestimate extreme tail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Skewness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Negative Skew in "Tariff Shocks"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Risk modules need asymmetric volatility weighting.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Correlation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intra-sector correlation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Portfolio backtests must use shrinkage estimators.</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improve precision, the terminal’s Monte Carlo engine should transition from a standard geometric Brownian motion to a "Jump-Diffusion" model that can account for the sudden, discrete price gaps that occur in emerging markets following regulatory shifts or "tariff shocks".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Holt-Winters and Linear Regression Components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Holt-Winters model is particularly effective for the Vietnamese market because of its "January Effect"—a historically observed seasonal peak where returns average 4.4%.</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incorporating seasonality, the ensemble can filter out the cyclical "February-March weakening" that often catches retail traders off-guard.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board proposes that the terminal allow users to "weight" these ensemble components. A "momentum-heavy" trader might prefer a 60% weight on Linear Regression, whereas a "mean-reversion" trader might favor Holt-Winters and Monte Carlo.</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Microstructure and "Whale" Detection Techniques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quantitative trader, "Whale" money flow detection is the primary method for identifying institutional accumulation and distribution phases. The Captain Seventh terminal utilizes a "volume-price divergence" model to classify swing-trade risk as Low, Med, or High.</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Order Flow Imbalance and Iceberg Detection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"Whale Activity Detector" in the terminal operates by identifying candles where current volume exceeds 4x the average volume (Volume SMA) while price stalls—a classic sign of an "Iceberg" order where a large participant is absorbing all market aggression at a specific price level.</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Professional quant traders utilize the principles of "Sell to Buy" (STB) and "Buy to Sell" (BTS) to recognize these manipulation zones.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Manipulation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Whale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Retail Trap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Accumulation (STB)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Opens short to trigger stop-losses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Breakout traders tricked into selling.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Distribution (BTS)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Opens long to attract retail buyers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FOMO traders buy at the top.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Order Block (OB)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Massive hidden limit orders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Price appears to hit a "brick wall."</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v28.0 terminal’s "Deep Scan" module correctly identifies these phases but lacks the "Intrabar Precision" required to differentiate between "Absorption" and "Exhaustion".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board suggests integrating a "Footprint Chart" logic that reconstructs buying and selling pressure inside the candle using 1-minute or 5-second sub-data to provide a "Net Whale Flow" dashboard.</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SMA50 Trend Filter and Technical Heuristics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terminal mandates an SMA50 trend filter, where a stock is only considered for long signals if the Price &gt; SMA50.</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the Vietnamese market, the SMA50 is a powerful psychological threshold, and stocks trading below this level often enter prolonged "accumulation ranges" where capital is tied up for months.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the RSI thresholds of 30 (Oversold) and 70 (Overbought) are "standard but skewed" in a high-volatility environment.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During the 2025 bull run, the VN-Index stayed in "Overbought" territory for weeks, leading the terminal to potentially generate "premature sell" signals.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We propose a "Volatility-Adjusted RSI" that expands these thresholds during high-volatility regimes to prevent missed "alpha" in strong trends.</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Macroeconomic Nexus: Classical Theory and the Vietnam Context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oversight in the current version of the terminal is the "Classical Dichotomy" gap—the separation of micro-technical signals from macroeconomic forces.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an emerging market like Vietnam, macro shocks (interest rates, exchange rates, and inflation) are the primary drivers of broad market direction.</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Quantity Theory and the SBV Credit Mandate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Mankiw’s quantity theory of money (</w:t>
      </w:r>
      <w:r w:rsidDel="00000000" w:rsidR="00000000" w:rsidRPr="00000000">
        <w:rPr>
          <w:rFonts w:ascii="Google Sans" w:cs="Google Sans" w:eastAsia="Google Sans" w:hAnsi="Google Sans"/>
          <w:color w:val="1f1f1f"/>
        </w:rPr>
        <w:drawing>
          <wp:inline distB="19050" distT="19050" distL="19050" distR="19050">
            <wp:extent cx="885233" cy="237502"/>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885233" cy="2375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posits that the rate of money growth determines the rate of inflation in the long run.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2025, the SBV’s 18% credit expansion supported a 41% market gain, as high liquidity sought outlets in the stock and real estate markets.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professional terminal must integrate a "Liquidity Pulse" indicator that tracks the SBV’s open-market operations and refinancing rate changes.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When the SBV tightens, the "valuation ceiling" for sectors like "Financials" and "Real Estate" must be programmatically lowered, as the Mankiw model predicts a rise in the real interest rate will lead to a crowding out of investment.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Mundell-Fleming and USD/VND Currency Risk</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Vietnam operates as a "small open economy" under a managed float exchange rate system.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Mundell-Fleming model teaches that monetary policy influences income through the exchange rate.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late 2025, the USD/VND exchange rate experienced structural downside pressure, peaking near an 8% surge in unofficial rates.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Economic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Sectors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v28.0 Logic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Weak VND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Benefits Exporters (Textiles, Footwear)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Tariffs (20-40%)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Pressures electronics and transshipments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USD Debt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Increases liabilities for VIN Group / HPG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Partial (Debt Ratios)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SBV Interventions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Drains liquidity, raises rates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Absent</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board identifies this as a "skewed risk" profile. The terminal treats a company’s financial health based on its balance sheet but ignores its "Currency Sensitivity." For example, a company with high USD-denominated debt (e.g., Vingroup) faces a hidden "Liquidity Crisis" risk if the VND depreciates, even if its domestic revenue remains stable.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 Adjustments for Maximum Reliability and Precision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transition the Captain Seventh terminal from a high-quality retail tool to a professional-grade analytical workstation, the board proposes the following mathematical and systemic adjustments.</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Ledoit-Wolf Shrinkage for Portfolio Selection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terminal’s current portfolio backtester assumes a standard covariance matrix, which is prone to "estimation error" in markets with limited historical data like Vietnam.</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Academic research confirms that the Ledoit-Wolf nonlinear shrinkage approach for estimating the covariance matrix yields significantly better results in the HOSE market by "shrinking" extreme outliers toward a central mean, thereby reducing the risk of portfolio concentration in high-beta "mirage" stocks.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Transaction Cost and Tax Integration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frequent error in retail backtesting is the omission of "Vietnam Friction." The terminal must explicitly subtract a 0.3% "Total Execution Drag" from every backtested trade.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drag includes:</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Brokerage Fees:</w:t>
      </w:r>
      <w:r w:rsidDel="00000000" w:rsidR="00000000" w:rsidRPr="00000000">
        <w:rPr>
          <w:rFonts w:ascii="Google Sans" w:cs="Google Sans" w:eastAsia="Google Sans" w:hAnsi="Google Sans"/>
          <w:color w:val="1f1f1f"/>
          <w:rtl w:val="0"/>
        </w:rPr>
        <w:t xml:space="preserve"> Typically 0.1% to 0.15%.</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Transaction Tax:</w:t>
      </w:r>
      <w:r w:rsidDel="00000000" w:rsidR="00000000" w:rsidRPr="00000000">
        <w:rPr>
          <w:rFonts w:ascii="Google Sans" w:cs="Google Sans" w:eastAsia="Google Sans" w:hAnsi="Google Sans"/>
          <w:color w:val="1f1f1f"/>
          <w:rtl w:val="0"/>
        </w:rPr>
        <w:t xml:space="preserve"> 0.1% on gross proceeds (unchanged in 2025 for listed shares).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Slippage:</w:t>
      </w:r>
      <w:r w:rsidDel="00000000" w:rsidR="00000000" w:rsidRPr="00000000">
        <w:rPr>
          <w:rFonts w:ascii="Google Sans" w:cs="Google Sans" w:eastAsia="Google Sans" w:hAnsi="Google Sans"/>
          <w:color w:val="1f1f1f"/>
          <w:rtl w:val="0"/>
        </w:rPr>
        <w:t xml:space="preserve"> Estimated at 0.05% for high-liquidity tickers (&gt; 50bn VND/day) and 0.2% for mid-caps.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Without this adjustment, the terminal's "Alpha" reports are "incorrectly skewed," as many short-term swing strategies that appear profitable on paper will fail in live execution due to cumulative costs.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Bayesian "Deep Audit" for Financial Statements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"tech-implied" growth models should be supplemented with a Bayesian prior based on forensic accounting.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We propose a module that flags "Opaque Earnings" by comparing reported net income to actual operating cash flow. In the 2025 market, stocks like VIC showed liabilities relative to equity exceeding 500%, creating "unpredictable future cash flows" that standard financial models cannot capture.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"Governance Risk Score" that adjusts the DCF discount rate based on debt-to-equity and institutional ownership would provide a more precise valuation for long-term investors.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GIPS-Compliant Performance Reporting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align with global standards, the terminal should adopt the Global Investment Performance Standards (GIPS) for all strategy backtests.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requires the platform to provide "Full Disclosure" of its input data, maintain a consistent historical record of at least 5 years (or since strategy inception), and prevent the "cherry-picking" of successful timeframes.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Modules for Different Investor Profiles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board recognizes that the terminal serves two distinct personas: the "Swing Trader," who seeks to exploit market inefficiencies, and the "Long-Term Investor," who seeks to capitalize on Vietnam's structural growth.</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Modules for the Swing Trader</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Swing trading in Vietnam is governed by "Retail Herding" and "Momentum Divergence".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Sentiment Scraper (PhoBERT):</w:t>
      </w:r>
      <w:r w:rsidDel="00000000" w:rsidR="00000000" w:rsidRPr="00000000">
        <w:rPr>
          <w:rFonts w:ascii="Google Sans" w:cs="Google Sans" w:eastAsia="Google Sans" w:hAnsi="Google Sans"/>
          <w:color w:val="1f1f1f"/>
          <w:rtl w:val="0"/>
        </w:rPr>
        <w:t xml:space="preserve"> We propose a module that utilizes transformer-based NLP models trained on Vietnamese text (PhoBERT) to analyze sentiment in forums and news comments.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would act as a "contrarian indicator"; extreme bullish sentiment often signals an impending BTS manipulation by Whales.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T+2 Exit Optimizer:</w:t>
      </w:r>
      <w:r w:rsidDel="00000000" w:rsidR="00000000" w:rsidRPr="00000000">
        <w:rPr>
          <w:rFonts w:ascii="Google Sans" w:cs="Google Sans" w:eastAsia="Google Sans" w:hAnsi="Google Sans"/>
          <w:color w:val="1f1f1f"/>
          <w:rtl w:val="0"/>
        </w:rPr>
        <w:t xml:space="preserve"> Since trades are locked for 48 hours, this module would calculate the "Settlement Liquidity" of a stock, flagging tickers where the "T+2 sell-off" typically occurs (the phenomenon where stocks are dumped the moment they become tradable).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VN-4 Factor Anomaly Scanner:</w:t>
      </w:r>
      <w:r w:rsidDel="00000000" w:rsidR="00000000" w:rsidRPr="00000000">
        <w:rPr>
          <w:rFonts w:ascii="Google Sans" w:cs="Google Sans" w:eastAsia="Google Sans" w:hAnsi="Google Sans"/>
          <w:color w:val="1f1f1f"/>
          <w:rtl w:val="0"/>
        </w:rPr>
        <w:t xml:space="preserve"> Instead of a simple CAPM model, the trader needs a scanner based on the "VN-4 Model," which identifies anomalies in Size, Earnings-to-Price (EP), Turnover, and Market factor.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Research indicates that the EP ratio outperforms the book-to-market ratio in capturing the value effect in Vietnam.</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 Modules for the Long-Term Investor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Long-term investing in Vietnam requires a focus on "Institutional Reform" and "Foreign Inflow Paths".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FOL (Foreign Ownership Limit) Room Monitor:</w:t>
      </w:r>
      <w:r w:rsidDel="00000000" w:rsidR="00000000" w:rsidRPr="00000000">
        <w:rPr>
          <w:rFonts w:ascii="Google Sans" w:cs="Google Sans" w:eastAsia="Google Sans" w:hAnsi="Google Sans"/>
          <w:color w:val="1f1f1f"/>
          <w:rtl w:val="0"/>
        </w:rPr>
        <w:t xml:space="preserve"> With the 2025 reforms preventing companies from setting arbitrarily low FOLs, institutional investors need a real-time monitor to identify stocks that have recently "opened up" to foreign capital.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Stocks with low FOL room and high foreign interest (e.g., FPT historically) tend to trade at a "premium" that fundamental models must account for.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IPO/New Listing Evaluator:</w:t>
      </w:r>
      <w:r w:rsidDel="00000000" w:rsidR="00000000" w:rsidRPr="00000000">
        <w:rPr>
          <w:rFonts w:ascii="Google Sans" w:cs="Google Sans" w:eastAsia="Google Sans" w:hAnsi="Google Sans"/>
          <w:color w:val="1f1f1f"/>
          <w:rtl w:val="0"/>
        </w:rPr>
        <w:t xml:space="preserve"> Decree 245/2025/ND-CP reduced the IPO-to-listing timeline from 90 days to 30 days, sparking a revival in the IPO market.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long-term investor needs a module that applies "pre-listing valuation" to newly debutants like Techcom Securities (TCX) or VPBank Securities (VPX).</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CIT Law 2025 Tax Optimizer:</w:t>
      </w:r>
      <w:r w:rsidDel="00000000" w:rsidR="00000000" w:rsidRPr="00000000">
        <w:rPr>
          <w:rFonts w:ascii="Google Sans" w:cs="Google Sans" w:eastAsia="Google Sans" w:hAnsi="Google Sans"/>
          <w:color w:val="1f1f1f"/>
          <w:rtl w:val="0"/>
        </w:rPr>
        <w:t xml:space="preserve"> This module would calculate the post-tax return for domestic versus foreign investors based on the October 2025 CIT updates, particularly the 2% flat tax on non-resident business transfers versus the 0.1% gross tax on listed shares.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Investor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Horizon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Terminal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Proposed Enhancement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Swing Trader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T+2 to 2 Weeks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Market Scanner / Smart Signals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Sentiment Scraper / Net Whale Flow Dashboard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Long-term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 Months to 2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Stock Profiler / Deep Audit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FOL Room Tracker / Governance Risk Score</w:t>
            </w:r>
          </w:p>
        </w:tc>
      </w:tr>
    </w:tbl>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Evaluation of Performance: Alignment with Academic Standards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Captain Seventh QUANT TERMINAL v28.0 shows a "high alignment" with the micro-structural realities of the Vietnamese market but "skewed performance" in its handling of macro-financial variables.</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Accuracy and Theoretical Alignment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terminal is "highly accurate" in its technical execution, particularly its use of exponential smoothing (Holt-Winters) and linear regression for trend detection.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methods are well-documented in computational linguistics and time-series analysis for their efficacy in noisy, emerging markets.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"Whale Activity Detector" is also programmatically aligned with "Auction Market Theory" and "Volume Profile" analysis, making it a robust tool for identifying points of interest (POI).</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Incorrect and Missing Logic</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terminal is "incorrect" in its assumption of a static risk environment. In Mankiw's "Open Economy Revisited" framework, the "Impossible Trinity" dictates that a nation cannot simultaneously have free capital flows, a fixed exchange rate, and an independent monetary policy.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As Vietnam allows freer capital flows through NPF and CCP (Central Counterparty) clearing reforms, the terminal’s valuation models must account for the increasing volatility in interest rates.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board finds the absence of a "Country Risk Premium" (</w:t>
      </w:r>
      <w:r w:rsidDel="00000000" w:rsidR="00000000" w:rsidRPr="00000000">
        <w:rPr>
          <w:rFonts w:ascii="Google Sans" w:cs="Google Sans" w:eastAsia="Google Sans" w:hAnsi="Google Sans"/>
          <w:color w:val="1f1f1f"/>
        </w:rPr>
        <w:drawing>
          <wp:inline distB="19050" distT="19050" distL="19050" distR="19050">
            <wp:extent cx="302477" cy="23766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02477" cy="2376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WACC calculation to be a significant theoretical flaw that leads to "intrinsic value mirages."</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Skewed and Pro-Cyclical Bias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ensemble forecasting is "skewed" toward momentum. While Linear Regression is a staple of quant trading, in the Vietnamese market, it often fails during "Regime Shifts," such as the transition from a "liquidity-driven" bull market to an "earnings-driven" sideways phase.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board proposes a "Regime-Switching Model" that uses HMM (Hidden Markov Models) to detect when the market has shifted from a "bullish trending" state to a "bearish volatile" state, automatically reducing the weight of momentum signals.</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Systemic Adjustments for Professional Maturity</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Captain Seventh QUANT TERMINAL achieves the highest possible level of reliability, we propose a roadmap of structural enhancements.</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Integration of Macroeconomic API Layer</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terminal must ingest the "55 important macroeconomic indicators" identified by academic research as critical for forecasting financial bubbles in Vietnam.</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layer should include:</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GDP Growth:</w:t>
      </w:r>
      <w:r w:rsidDel="00000000" w:rsidR="00000000" w:rsidRPr="00000000">
        <w:rPr>
          <w:rFonts w:ascii="Google Sans" w:cs="Google Sans" w:eastAsia="Google Sans" w:hAnsi="Google Sans"/>
          <w:color w:val="1f1f1f"/>
          <w:rtl w:val="0"/>
        </w:rPr>
        <w:t xml:space="preserve"> Updated quarterly but interpolated monthly using cubic spline methods to preserve features.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CPI and Inflation Targets:</w:t>
      </w:r>
      <w:r w:rsidDel="00000000" w:rsidR="00000000" w:rsidRPr="00000000">
        <w:rPr>
          <w:rFonts w:ascii="Google Sans" w:cs="Google Sans" w:eastAsia="Google Sans" w:hAnsi="Google Sans"/>
          <w:color w:val="1f1f1f"/>
          <w:rtl w:val="0"/>
        </w:rPr>
        <w:t xml:space="preserve"> To adjust real interest rate (</w:t>
      </w:r>
      <w:r w:rsidDel="00000000" w:rsidR="00000000" w:rsidRPr="00000000">
        <w:rPr>
          <w:rFonts w:ascii="Google Sans" w:cs="Google Sans" w:eastAsia="Google Sans" w:hAnsi="Google Sans"/>
          <w:color w:val="1f1f1f"/>
        </w:rPr>
        <w:drawing>
          <wp:inline distB="19050" distT="19050" distL="19050" distR="19050">
            <wp:extent cx="88232" cy="264695"/>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88232" cy="2646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parameters in valuation engines.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Foreign Reserves:</w:t>
      </w:r>
      <w:r w:rsidDel="00000000" w:rsidR="00000000" w:rsidRPr="00000000">
        <w:rPr>
          <w:rFonts w:ascii="Google Sans" w:cs="Google Sans" w:eastAsia="Google Sans" w:hAnsi="Google Sans"/>
          <w:color w:val="1f1f1f"/>
          <w:rtl w:val="0"/>
        </w:rPr>
        <w:t xml:space="preserve"> A leading indicator of the SBV's ability to defend the USD/VND trading band.</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Broad Money (M2):</w:t>
      </w:r>
      <w:r w:rsidDel="00000000" w:rsidR="00000000" w:rsidRPr="00000000">
        <w:rPr>
          <w:rFonts w:ascii="Google Sans" w:cs="Google Sans" w:eastAsia="Google Sans" w:hAnsi="Google Sans"/>
          <w:color w:val="1f1f1f"/>
          <w:rtl w:val="0"/>
        </w:rPr>
        <w:t xml:space="preserve"> To gauge systemic liquidity and the potential for "asset-price booms".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Implementation of a VN-Index "Sentiment Buffer"</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Currently, the terminal generates signals based on pure technical crossovers. We propose a "Sentiment Buffer" that requires a signal to be confirmed by an absence of "Retail Mania." Research into the 2025 Vietnamese market shows that during periods of extreme "Retail Herding," traditional technical indicators like MACD and RSI lose their predictive effectiveness as prices detach from fundamentals.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buffer would utilize a correlation matrix of trades across "retail favorite names" (e.g., historical favorites like FLC or the 2025 VIN Group rally) to detect when a move is driven by speculation rather than institutional volume.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Advanced Risk Management: GARCH and VaR</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"Swing-trade risk level" (Low, Med, High) should be mathematically formalized using:</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GARCH (1,1) Models:</w:t>
      </w:r>
      <w:r w:rsidDel="00000000" w:rsidR="00000000" w:rsidRPr="00000000">
        <w:rPr>
          <w:rFonts w:ascii="Google Sans" w:cs="Google Sans" w:eastAsia="Google Sans" w:hAnsi="Google Sans"/>
          <w:color w:val="1f1f1f"/>
          <w:rtl w:val="0"/>
        </w:rPr>
        <w:t xml:space="preserve"> To capture "volatility clustering," where large price swings tend to follow other large price swings.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Value at Risk (VaR):</w:t>
      </w:r>
      <w:r w:rsidDel="00000000" w:rsidR="00000000" w:rsidRPr="00000000">
        <w:rPr>
          <w:rFonts w:ascii="Google Sans" w:cs="Google Sans" w:eastAsia="Google Sans" w:hAnsi="Google Sans"/>
          <w:color w:val="1f1f1f"/>
          <w:rtl w:val="0"/>
        </w:rPr>
        <w:t xml:space="preserve"> To provide a "maximum expected loss" figure for a 1-day or 5-day horizon at a 95% confidence interval.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Max Drawdown (MDD) Tracker:</w:t>
      </w:r>
      <w:r w:rsidDel="00000000" w:rsidR="00000000" w:rsidRPr="00000000">
        <w:rPr>
          <w:rFonts w:ascii="Google Sans" w:cs="Google Sans" w:eastAsia="Google Sans" w:hAnsi="Google Sans"/>
          <w:color w:val="1f1f1f"/>
          <w:rtl w:val="0"/>
        </w:rPr>
        <w:t xml:space="preserve"> For the backtesting module, to allow traders to see the "pain threshold" of a strategy before adoption.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Basis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Volatility Clustering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GARCH(1,1)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Adjusts position sizing in high-risk zones.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 Event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 (95%/99%)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Institutional capital preservation.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Strategy Resilience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Max Drawdown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Evaluates strategy "stamina."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Tail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Leptokurtosis Scaling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catastrophic failures in market collapses.</w:t>
            </w:r>
          </w:p>
        </w:tc>
      </w:tr>
    </w:tbl>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Forensic Accounting and the "Deep Audit" Module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v28.0 "Deep Audit" tab should be enhanced to include an "Earnings Quality Dashboard".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dashboard would flag:</w:t>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High Leverage:</w:t>
      </w:r>
      <w:r w:rsidDel="00000000" w:rsidR="00000000" w:rsidRPr="00000000">
        <w:rPr>
          <w:rFonts w:ascii="Google Sans" w:cs="Google Sans" w:eastAsia="Google Sans" w:hAnsi="Google Sans"/>
          <w:color w:val="1f1f1f"/>
          <w:rtl w:val="0"/>
        </w:rPr>
        <w:t xml:space="preserve"> Tickers where debt-to-equity &gt; 2x (excluding financials).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Negative FCF:</w:t>
      </w:r>
      <w:r w:rsidDel="00000000" w:rsidR="00000000" w:rsidRPr="00000000">
        <w:rPr>
          <w:rFonts w:ascii="Google Sans" w:cs="Google Sans" w:eastAsia="Google Sans" w:hAnsi="Google Sans"/>
          <w:color w:val="1f1f1f"/>
          <w:rtl w:val="0"/>
        </w:rPr>
        <w:t xml:space="preserve"> Companies reporting profits but experiencing negative free cash flow for consecutive years.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Dividend Cover:</w:t>
      </w:r>
      <w:r w:rsidDel="00000000" w:rsidR="00000000" w:rsidRPr="00000000">
        <w:rPr>
          <w:rFonts w:ascii="Google Sans" w:cs="Google Sans" w:eastAsia="Google Sans" w:hAnsi="Google Sans"/>
          <w:color w:val="1f1f1f"/>
          <w:rtl w:val="0"/>
        </w:rPr>
        <w:t xml:space="preserve"> Tickers paying dividends out of debt rather than earnings.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of the Academic Board</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Captain Seventh QUANT TERMINAL v28.0 is a robust and pioneering tool that effectively captures the unique microstructural nuances of the Vietnamese market, particularly its settlement cycles and sectoral dynamics. Its accuracy in providing defensive valuation anchors and identifying institutional "Whale" footprints makes it an invaluable asset for retail and professional traders alike.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to survive and thrive in the post-2025 "Emerging Market" era, the platform must bridge the current "Macro-Gap." By integrating live macroeconomic data, refining its stochastic models for non-Gaussian distributions, and adopting global performance standards (GIPS), the terminal will move from being a "reactive" technical tool to a "proactive" strategic workstation. The board identifies the "Sentiment Buffer" and "Ledoit-Wolf Shrinkage" as the two most critical technical upgrades to prevent "alpha mirages" and capital concentration risks.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Vietnam consolidates its position as one of Asia's most dynamic equity markets, the demand for "Professionalism, Transparency, and Sustainability" will become the hallmark of the new investment era.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Captain Seventh terminal, with the proposed systemic adjustments, is uniquely positioned to lead this technological takeoff, providing the next generation of investors with the precision required to navigate the "boundless ocean of market opportunities".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Market Reform Wave: A Market at a Turning Point | VanEck, accessed March 12, 2026, </w:t>
      </w:r>
      <w:hyperlink r:id="rId13">
        <w:r w:rsidDel="00000000" w:rsidR="00000000" w:rsidRPr="00000000">
          <w:rPr>
            <w:rFonts w:ascii="Google Sans" w:cs="Google Sans" w:eastAsia="Google Sans" w:hAnsi="Google Sans"/>
            <w:color w:val="0000ee"/>
            <w:sz w:val="24"/>
            <w:szCs w:val="24"/>
            <w:u w:val="single"/>
            <w:rtl w:val="0"/>
          </w:rPr>
          <w:t xml:space="preserve">https://www.vaneck.com/us/en/blogs/emerging-markets-equity/vietnams-market-reform-wave-a-market-at-a-turning-point/</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Market 2026: New Opportunities from Market Upgrade and Re-Rating, accessed March 12, 2026, </w:t>
      </w:r>
      <w:hyperlink r:id="rId14">
        <w:r w:rsidDel="00000000" w:rsidR="00000000" w:rsidRPr="00000000">
          <w:rPr>
            <w:rFonts w:ascii="Google Sans" w:cs="Google Sans" w:eastAsia="Google Sans" w:hAnsi="Google Sans"/>
            <w:color w:val="0000ee"/>
            <w:sz w:val="24"/>
            <w:szCs w:val="24"/>
            <w:u w:val="single"/>
            <w:rtl w:val="0"/>
          </w:rPr>
          <w:t xml:space="preserve">https://vccinews.com/news/62361/stock-market-2026-new-opportunities-from-market-upgrade-and-re-rating.html</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Record highs, structural change shape Việt Nam's stock market in 2025, accessed March 12, 2026, </w:t>
      </w:r>
      <w:hyperlink r:id="rId15">
        <w:r w:rsidDel="00000000" w:rsidR="00000000" w:rsidRPr="00000000">
          <w:rPr>
            <w:rFonts w:ascii="Google Sans" w:cs="Google Sans" w:eastAsia="Google Sans" w:hAnsi="Google Sans"/>
            <w:color w:val="0000ee"/>
            <w:sz w:val="24"/>
            <w:szCs w:val="24"/>
            <w:u w:val="single"/>
            <w:rtl w:val="0"/>
          </w:rPr>
          <w:t xml:space="preserve">https://vietnamnews.vn/economy/1732935/record-highs-structural-change-shape-viet-nam-s-stock-market-in-2025.html</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rules ease foreign access to Vietnam equities, accessed March 12, 2026, </w:t>
      </w:r>
      <w:hyperlink r:id="rId16">
        <w:r w:rsidDel="00000000" w:rsidR="00000000" w:rsidRPr="00000000">
          <w:rPr>
            <w:rFonts w:ascii="Google Sans" w:cs="Google Sans" w:eastAsia="Google Sans" w:hAnsi="Google Sans"/>
            <w:color w:val="0000ee"/>
            <w:sz w:val="24"/>
            <w:szCs w:val="24"/>
            <w:u w:val="single"/>
            <w:rtl w:val="0"/>
          </w:rPr>
          <w:t xml:space="preserve">https://vir.com.vn/new-rules-ease-foreign-access-to-vietnam-equities-146204.html</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The ASEAN powerhouse - LSEG, accessed March 12, 2026, </w:t>
      </w:r>
      <w:hyperlink r:id="rId17">
        <w:r w:rsidDel="00000000" w:rsidR="00000000" w:rsidRPr="00000000">
          <w:rPr>
            <w:rFonts w:ascii="Google Sans" w:cs="Google Sans" w:eastAsia="Google Sans" w:hAnsi="Google Sans"/>
            <w:color w:val="0000ee"/>
            <w:sz w:val="24"/>
            <w:szCs w:val="24"/>
            <w:u w:val="single"/>
            <w:rtl w:val="0"/>
          </w:rPr>
          <w:t xml:space="preserve">https://www.lseg.com/en/insights/ftse-russell/vietnam-the-asean-powerhouse</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quant_app.py</w:t>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Stock Forecasting Model in Vietnam - Fundopedia, accessed March 12, 2026, </w:t>
      </w:r>
      <w:hyperlink r:id="rId18">
        <w:r w:rsidDel="00000000" w:rsidR="00000000" w:rsidRPr="00000000">
          <w:rPr>
            <w:rFonts w:ascii="Google Sans" w:cs="Google Sans" w:eastAsia="Google Sans" w:hAnsi="Google Sans"/>
            <w:color w:val="0000ee"/>
            <w:sz w:val="24"/>
            <w:szCs w:val="24"/>
            <w:u w:val="single"/>
            <w:rtl w:val="0"/>
          </w:rPr>
          <w:t xml:space="preserve">https://chenjiazizhong.com/2025/03/26/ai-powered-stock-forecasting-model-in-vietnam/</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Circular No. 18/2025/TT-BTC amending and supplementing several articles of Circular No. 119/2020/TT-BTC dated December 31, 2020 of the Minister of Finance regulating the registration, depository, clearing and settlement of securities and Circular No. 96/2020/TT-BTC dated November 16, 2020 of the Minister of Finance guiding the information disclosure on securities market amended by Circular 68/2024/TT-BTC dated September 18, 2024 of the Minister of Finance 04 28, 2025, accessed March 12, 2026, </w:t>
      </w:r>
      <w:hyperlink r:id="rId19">
        <w:r w:rsidDel="00000000" w:rsidR="00000000" w:rsidRPr="00000000">
          <w:rPr>
            <w:rFonts w:ascii="Google Sans" w:cs="Google Sans" w:eastAsia="Google Sans" w:hAnsi="Google Sans"/>
            <w:color w:val="0000ee"/>
            <w:sz w:val="24"/>
            <w:szCs w:val="24"/>
            <w:u w:val="single"/>
            <w:rtl w:val="0"/>
          </w:rPr>
          <w:t xml:space="preserve">https://ssc.gov.vn/webcenter/portal/ssc/pages_r/l/chitit?dDocName=APPSSCGOVVN1620154394</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Intrinsic value calculation: A practical framework for investors - Winvesta, accessed March 12, 2026, </w:t>
      </w:r>
      <w:hyperlink r:id="rId20">
        <w:r w:rsidDel="00000000" w:rsidR="00000000" w:rsidRPr="00000000">
          <w:rPr>
            <w:rFonts w:ascii="Google Sans" w:cs="Google Sans" w:eastAsia="Google Sans" w:hAnsi="Google Sans"/>
            <w:color w:val="0000ee"/>
            <w:sz w:val="24"/>
            <w:szCs w:val="24"/>
            <w:u w:val="single"/>
            <w:rtl w:val="0"/>
          </w:rPr>
          <w:t xml:space="preserve">https://www.winvesta.in/blog/investors/intrinsic-value-calculation-a-practical-framework</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market posts resilient 2025 performance - Vietnam Investment Review, accessed March 12, 2026, </w:t>
      </w:r>
      <w:hyperlink r:id="rId21">
        <w:r w:rsidDel="00000000" w:rsidR="00000000" w:rsidRPr="00000000">
          <w:rPr>
            <w:rFonts w:ascii="Google Sans" w:cs="Google Sans" w:eastAsia="Google Sans" w:hAnsi="Google Sans"/>
            <w:color w:val="0000ee"/>
            <w:sz w:val="24"/>
            <w:szCs w:val="24"/>
            <w:u w:val="single"/>
            <w:rtl w:val="0"/>
          </w:rPr>
          <w:t xml:space="preserve">https://vir.com.vn/stock-market-posts-resilient-2025-performance-143304.html</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Dynamics 2025 - MBS, accessed March 12, 2026, </w:t>
      </w:r>
      <w:hyperlink r:id="rId22">
        <w:r w:rsidDel="00000000" w:rsidR="00000000" w:rsidRPr="00000000">
          <w:rPr>
            <w:rFonts w:ascii="Google Sans" w:cs="Google Sans" w:eastAsia="Google Sans" w:hAnsi="Google Sans"/>
            <w:color w:val="0000ee"/>
            <w:sz w:val="24"/>
            <w:szCs w:val="24"/>
            <w:u w:val="single"/>
            <w:rtl w:val="0"/>
          </w:rPr>
          <w:t xml:space="preserve">https://www.mbs.com.vn/files/uploads/2025/04/mbs_vn-dynamics-2025_eng-1.pdf</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June 2025 Macroeconomic &amp; Stock Market: 8% GDP, 3.1% Market Return, Key Policy Moves | Timvest, accessed March 12, 2026, </w:t>
      </w:r>
      <w:hyperlink r:id="rId23">
        <w:r w:rsidDel="00000000" w:rsidR="00000000" w:rsidRPr="00000000">
          <w:rPr>
            <w:rFonts w:ascii="Google Sans" w:cs="Google Sans" w:eastAsia="Google Sans" w:hAnsi="Google Sans"/>
            <w:color w:val="0000ee"/>
            <w:sz w:val="24"/>
            <w:szCs w:val="24"/>
            <w:u w:val="single"/>
            <w:rtl w:val="0"/>
          </w:rPr>
          <w:t xml:space="preserve">https://timvest.ch/vietnam-macro-stock-market-june-2025</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stock market on the cusp of a breakthrough - Vietnam strategy report, accessed March 12, 2026, </w:t>
      </w:r>
      <w:hyperlink r:id="rId24">
        <w:r w:rsidDel="00000000" w:rsidR="00000000" w:rsidRPr="00000000">
          <w:rPr>
            <w:rFonts w:ascii="Google Sans" w:cs="Google Sans" w:eastAsia="Google Sans" w:hAnsi="Google Sans"/>
            <w:color w:val="0000ee"/>
            <w:sz w:val="24"/>
            <w:szCs w:val="24"/>
            <w:u w:val="single"/>
            <w:rtl w:val="0"/>
          </w:rPr>
          <w:t xml:space="preserve">https://masvn.com/api/attachment/file/1768212082312-MASVN_RS_Strategy_2026_01.pdf</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Graham Number: Meaning, Formula, Example &amp; Role in Value Investing | Kotak Neo, accessed March 12, 2026, </w:t>
      </w:r>
      <w:hyperlink r:id="rId25">
        <w:r w:rsidDel="00000000" w:rsidR="00000000" w:rsidRPr="00000000">
          <w:rPr>
            <w:rFonts w:ascii="Google Sans" w:cs="Google Sans" w:eastAsia="Google Sans" w:hAnsi="Google Sans"/>
            <w:color w:val="0000ee"/>
            <w:sz w:val="24"/>
            <w:szCs w:val="24"/>
            <w:u w:val="single"/>
            <w:rtl w:val="0"/>
          </w:rPr>
          <w:t xml:space="preserve">https://www.kotakneo.com/investing-guide/share-market/what-is-graham-number/</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Benjamin Graham Number: What Is It, Calculation &amp; Importance - Investing.com, accessed March 12, 2026, </w:t>
      </w:r>
      <w:hyperlink r:id="rId26">
        <w:r w:rsidDel="00000000" w:rsidR="00000000" w:rsidRPr="00000000">
          <w:rPr>
            <w:rFonts w:ascii="Google Sans" w:cs="Google Sans" w:eastAsia="Google Sans" w:hAnsi="Google Sans"/>
            <w:color w:val="0000ee"/>
            <w:sz w:val="24"/>
            <w:szCs w:val="24"/>
            <w:u w:val="single"/>
            <w:rtl w:val="0"/>
          </w:rPr>
          <w:t xml:space="preserve">https://www.investing.com/academy/analysis/benjamin-graham-number-definition/</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 Nam's stock market closes 2025 with impressive 41% gain - NhanDan, accessed March 12, 2026, </w:t>
      </w:r>
      <w:hyperlink r:id="rId27">
        <w:r w:rsidDel="00000000" w:rsidR="00000000" w:rsidRPr="00000000">
          <w:rPr>
            <w:rFonts w:ascii="Google Sans" w:cs="Google Sans" w:eastAsia="Google Sans" w:hAnsi="Google Sans"/>
            <w:color w:val="0000ee"/>
            <w:sz w:val="24"/>
            <w:szCs w:val="24"/>
            <w:u w:val="single"/>
            <w:rtl w:val="0"/>
          </w:rPr>
          <w:t xml:space="preserve">https://en.nhandan.vn/viet-nams-stock-market-closes-2025-with-impressive-41-gain-post157479.html</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stock market outlook October 2025 - AQUIS Capital, accessed March 12, 2026, </w:t>
      </w:r>
      <w:hyperlink r:id="rId28">
        <w:r w:rsidDel="00000000" w:rsidR="00000000" w:rsidRPr="00000000">
          <w:rPr>
            <w:rFonts w:ascii="Google Sans" w:cs="Google Sans" w:eastAsia="Google Sans" w:hAnsi="Google Sans"/>
            <w:color w:val="0000ee"/>
            <w:sz w:val="24"/>
            <w:szCs w:val="24"/>
            <w:u w:val="single"/>
            <w:rtl w:val="0"/>
          </w:rPr>
          <w:t xml:space="preserve">https://aquis-capital.com/news/vietnam-stock-market-outlook-october-2025-stability-reform-and-renewed-investor-confidence</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bizarre Stock Market performance in 2025 - PYN, accessed March 12, 2026, </w:t>
      </w:r>
      <w:hyperlink r:id="rId29">
        <w:r w:rsidDel="00000000" w:rsidR="00000000" w:rsidRPr="00000000">
          <w:rPr>
            <w:rFonts w:ascii="Google Sans" w:cs="Google Sans" w:eastAsia="Google Sans" w:hAnsi="Google Sans"/>
            <w:color w:val="0000ee"/>
            <w:sz w:val="24"/>
            <w:szCs w:val="24"/>
            <w:u w:val="single"/>
            <w:rtl w:val="0"/>
          </w:rPr>
          <w:t xml:space="preserve">https://www.pyn.fi/en/blog/2026/vietnams-bizarre-stock-market-performance-in-2025/</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Graham number - Wikipedia, accessed March 12, 2026, </w:t>
      </w:r>
      <w:hyperlink r:id="rId30">
        <w:r w:rsidDel="00000000" w:rsidR="00000000" w:rsidRPr="00000000">
          <w:rPr>
            <w:rFonts w:ascii="Google Sans" w:cs="Google Sans" w:eastAsia="Google Sans" w:hAnsi="Google Sans"/>
            <w:color w:val="0000ee"/>
            <w:sz w:val="24"/>
            <w:szCs w:val="24"/>
            <w:u w:val="single"/>
            <w:rtl w:val="0"/>
          </w:rPr>
          <w:t xml:space="preserve">https://en.wikipedia.org/wiki/Graham_number</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stock market closes 2025 with impressive 41% gain, accessed March 12, 2026, </w:t>
      </w:r>
      <w:hyperlink r:id="rId31">
        <w:r w:rsidDel="00000000" w:rsidR="00000000" w:rsidRPr="00000000">
          <w:rPr>
            <w:rFonts w:ascii="Google Sans" w:cs="Google Sans" w:eastAsia="Google Sans" w:hAnsi="Google Sans"/>
            <w:color w:val="0000ee"/>
            <w:sz w:val="24"/>
            <w:szCs w:val="24"/>
            <w:u w:val="single"/>
            <w:rtl w:val="0"/>
          </w:rPr>
          <w:t xml:space="preserve">https://en.vietnamplus.vn/vietnams-stock-market-closes-2025-with-impressive-41-gain-post335320.vnp</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Application of Monte Carlo Simulation for Risk and Behavior Analysis in Financial Markets | Highlights in Business, Economics and Management - Darcy &amp; Roy Press, accessed March 12, 2026, </w:t>
      </w:r>
      <w:hyperlink r:id="rId32">
        <w:r w:rsidDel="00000000" w:rsidR="00000000" w:rsidRPr="00000000">
          <w:rPr>
            <w:rFonts w:ascii="Google Sans" w:cs="Google Sans" w:eastAsia="Google Sans" w:hAnsi="Google Sans"/>
            <w:color w:val="0000ee"/>
            <w:sz w:val="24"/>
            <w:szCs w:val="24"/>
            <w:u w:val="single"/>
            <w:rtl w:val="0"/>
          </w:rPr>
          <w:t xml:space="preserve">https://drpress.org/ojs/index.php/HBEM/article/view/27378</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Effectiveness of Monte Carlo Simulations of the S&amp;P 500 Index before and after the Outbreak of the SARS-COV-2 Pandemic, accessed March 12, 2026, </w:t>
      </w:r>
      <w:hyperlink r:id="rId33">
        <w:r w:rsidDel="00000000" w:rsidR="00000000" w:rsidRPr="00000000">
          <w:rPr>
            <w:rFonts w:ascii="Google Sans" w:cs="Google Sans" w:eastAsia="Google Sans" w:hAnsi="Google Sans"/>
            <w:color w:val="0000ee"/>
            <w:sz w:val="24"/>
            <w:szCs w:val="24"/>
            <w:u w:val="single"/>
            <w:rtl w:val="0"/>
          </w:rPr>
          <w:t xml:space="preserve">https://www.dbc.wroc.pl/Content/121958/Nawrocki_Effectiveness_of_Monte_Carlo.pdf</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Whale — Indicators and Strategies — TradingView — India, accessed March 12, 2026, </w:t>
      </w:r>
      <w:hyperlink r:id="rId34">
        <w:r w:rsidDel="00000000" w:rsidR="00000000" w:rsidRPr="00000000">
          <w:rPr>
            <w:rFonts w:ascii="Google Sans" w:cs="Google Sans" w:eastAsia="Google Sans" w:hAnsi="Google Sans"/>
            <w:color w:val="0000ee"/>
            <w:sz w:val="24"/>
            <w:szCs w:val="24"/>
            <w:u w:val="single"/>
            <w:rtl w:val="0"/>
          </w:rPr>
          <w:t xml:space="preserve">https://in.tradingview.com/scripts/whale/</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Volume Profile &amp; Order Flow: Tools for Deep Market Insight - Bookmap, accessed March 12, 2026, </w:t>
      </w:r>
      <w:hyperlink r:id="rId35">
        <w:r w:rsidDel="00000000" w:rsidR="00000000" w:rsidRPr="00000000">
          <w:rPr>
            <w:rFonts w:ascii="Google Sans" w:cs="Google Sans" w:eastAsia="Google Sans" w:hAnsi="Google Sans"/>
            <w:color w:val="0000ee"/>
            <w:sz w:val="24"/>
            <w:szCs w:val="24"/>
            <w:u w:val="single"/>
            <w:rtl w:val="0"/>
          </w:rPr>
          <w:t xml:space="preserve">https://bookmap.com/blog/volume-profile-order-flow-tools-for-deep-market-insight</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"Whales" Manipulate Markets: A Trader's Guide to Succeed - TradingView, accessed March 12, 2026, </w:t>
      </w:r>
      <w:hyperlink r:id="rId36">
        <w:r w:rsidDel="00000000" w:rsidR="00000000" w:rsidRPr="00000000">
          <w:rPr>
            <w:rFonts w:ascii="Google Sans" w:cs="Google Sans" w:eastAsia="Google Sans" w:hAnsi="Google Sans"/>
            <w:color w:val="0000ee"/>
            <w:sz w:val="24"/>
            <w:szCs w:val="24"/>
            <w:u w:val="single"/>
            <w:rtl w:val="0"/>
          </w:rPr>
          <w:t xml:space="preserve">https://www.tradingview.com/chart/XAUUSD/58ZAm02a-How-Whales-Manipulate-Markets-A-Trader-s-Guide-to-Succeed/</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Whales — Chỉ báo và Chiến lược - TradingView, accessed March 12, 2026, </w:t>
      </w:r>
      <w:hyperlink r:id="rId37">
        <w:r w:rsidDel="00000000" w:rsidR="00000000" w:rsidRPr="00000000">
          <w:rPr>
            <w:rFonts w:ascii="Google Sans" w:cs="Google Sans" w:eastAsia="Google Sans" w:hAnsi="Google Sans"/>
            <w:color w:val="0000ee"/>
            <w:sz w:val="24"/>
            <w:szCs w:val="24"/>
            <w:u w:val="single"/>
            <w:rtl w:val="0"/>
          </w:rPr>
          <w:t xml:space="preserve">https://vn.tradingview.com/scripts/whales/</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markets in the news: What investors need to know - Brown Brothers Harriman, accessed March 12, 2026, </w:t>
      </w:r>
      <w:hyperlink r:id="rId38">
        <w:r w:rsidDel="00000000" w:rsidR="00000000" w:rsidRPr="00000000">
          <w:rPr>
            <w:rFonts w:ascii="Google Sans" w:cs="Google Sans" w:eastAsia="Google Sans" w:hAnsi="Google Sans"/>
            <w:color w:val="0000ee"/>
            <w:sz w:val="24"/>
            <w:szCs w:val="24"/>
            <w:u w:val="single"/>
            <w:rtl w:val="0"/>
          </w:rPr>
          <w:t xml:space="preserve">https://www.bbh.com/us/en/insights/investor-services-insights/emerging-markets-in-the-news-what-investors-need-to-know.html</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Approach portfolio selection for Vietnamese stock market based on nonlinear shrinkage method - IEEE Xplore, accessed March 12, 2026, </w:t>
      </w:r>
      <w:hyperlink r:id="rId39">
        <w:r w:rsidDel="00000000" w:rsidR="00000000" w:rsidRPr="00000000">
          <w:rPr>
            <w:rFonts w:ascii="Google Sans" w:cs="Google Sans" w:eastAsia="Google Sans" w:hAnsi="Google Sans"/>
            <w:color w:val="0000ee"/>
            <w:sz w:val="24"/>
            <w:szCs w:val="24"/>
            <w:u w:val="single"/>
            <w:rtl w:val="0"/>
          </w:rPr>
          <w:t xml:space="preserve">https://ieeexplore.ieee.org/document/9953803/</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Factors and anomalies in the Vietnamese stock market, accessed March 12, 2026, </w:t>
      </w:r>
      <w:hyperlink r:id="rId40">
        <w:r w:rsidDel="00000000" w:rsidR="00000000" w:rsidRPr="00000000">
          <w:rPr>
            <w:rFonts w:ascii="Google Sans" w:cs="Google Sans" w:eastAsia="Google Sans" w:hAnsi="Google Sans"/>
            <w:color w:val="0000ee"/>
            <w:sz w:val="24"/>
            <w:szCs w:val="24"/>
            <w:u w:val="single"/>
            <w:rtl w:val="0"/>
          </w:rPr>
          <w:t xml:space="preserve">https://www.pbcsf.tsinghua.edu.cn/__local/7/F5/A9/E0366D36DF73499C8CBFB66C505_4D50779F_1C1EEF.pdf</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April 29, 2025, service fees in the securities sector at the Vietnam Exchange - LuatVietnam.vn - Legal documents of Vietnamese laws, accessed March 12, 2026, </w:t>
      </w:r>
      <w:hyperlink r:id="rId41">
        <w:r w:rsidDel="00000000" w:rsidR="00000000" w:rsidRPr="00000000">
          <w:rPr>
            <w:rFonts w:ascii="Google Sans" w:cs="Google Sans" w:eastAsia="Google Sans" w:hAnsi="Google Sans"/>
            <w:color w:val="0000ee"/>
            <w:sz w:val="24"/>
            <w:szCs w:val="24"/>
            <w:u w:val="single"/>
            <w:rtl w:val="0"/>
          </w:rPr>
          <w:t xml:space="preserve">https://english.luatvietnam.vn/legal-updates/from-april-29-2025-service-fees-in-the-securities-sector-at-the-vietnam-stock-exchange-892-101999-article.html</w:t>
        </w:r>
      </w:hyperlink>
      <w:r w:rsidDel="00000000" w:rsidR="00000000" w:rsidRPr="00000000">
        <w:rPr>
          <w:rtl w:val="0"/>
        </w:rPr>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Capital Gains Tax: What Businesses Need to Know in 2025, accessed March 12, 2026, </w:t>
      </w:r>
      <w:hyperlink r:id="rId42">
        <w:r w:rsidDel="00000000" w:rsidR="00000000" w:rsidRPr="00000000">
          <w:rPr>
            <w:rFonts w:ascii="Google Sans" w:cs="Google Sans" w:eastAsia="Google Sans" w:hAnsi="Google Sans"/>
            <w:color w:val="0000ee"/>
            <w:sz w:val="24"/>
            <w:szCs w:val="24"/>
            <w:u w:val="single"/>
            <w:rtl w:val="0"/>
          </w:rPr>
          <w:t xml:space="preserve">https://vietnam.incorp.asia/vietnam-capital-gains-tax-in-2025/</w:t>
        </w:r>
      </w:hyperlink>
      <w:r w:rsidDel="00000000" w:rsidR="00000000" w:rsidRPr="00000000">
        <w:rPr>
          <w:rtl w:val="0"/>
        </w:rPr>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Investment Performance Standards (GIPS) - CFA Institute, accessed March 12, 2026, </w:t>
      </w:r>
      <w:hyperlink r:id="rId43">
        <w:r w:rsidDel="00000000" w:rsidR="00000000" w:rsidRPr="00000000">
          <w:rPr>
            <w:rFonts w:ascii="Google Sans" w:cs="Google Sans" w:eastAsia="Google Sans" w:hAnsi="Google Sans"/>
            <w:color w:val="0000ee"/>
            <w:sz w:val="24"/>
            <w:szCs w:val="24"/>
            <w:u w:val="single"/>
            <w:rtl w:val="0"/>
          </w:rPr>
          <w:t xml:space="preserve">https://rpc.cfainstitute.org/gips-standards</w:t>
        </w:r>
      </w:hyperlink>
      <w:r w:rsidDel="00000000" w:rsidR="00000000" w:rsidRPr="00000000">
        <w:rPr>
          <w:rtl w:val="0"/>
        </w:rPr>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INVESTMENT PERFORMANCE STANDARDS (GIPS®) FOR FIRMS, accessed March 12, 2026, </w:t>
      </w:r>
      <w:hyperlink r:id="rId44">
        <w:r w:rsidDel="00000000" w:rsidR="00000000" w:rsidRPr="00000000">
          <w:rPr>
            <w:rFonts w:ascii="Google Sans" w:cs="Google Sans" w:eastAsia="Google Sans" w:hAnsi="Google Sans"/>
            <w:color w:val="0000ee"/>
            <w:sz w:val="24"/>
            <w:szCs w:val="24"/>
            <w:u w:val="single"/>
            <w:rtl w:val="0"/>
          </w:rPr>
          <w:t xml:space="preserve">https://www.gipsstandards.org/wp-content/uploads/2021/03/2020_gips_standards_firms.pdf</w:t>
        </w:r>
      </w:hyperlink>
      <w:r w:rsidDel="00000000" w:rsidR="00000000" w:rsidRPr="00000000">
        <w:rPr>
          <w:rtl w:val="0"/>
        </w:rPr>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GIPS Standards Explained | CFA Level 1 - AnalystPrep, accessed March 12, 2026, </w:t>
      </w:r>
      <w:hyperlink r:id="rId45">
        <w:r w:rsidDel="00000000" w:rsidR="00000000" w:rsidRPr="00000000">
          <w:rPr>
            <w:rFonts w:ascii="Google Sans" w:cs="Google Sans" w:eastAsia="Google Sans" w:hAnsi="Google Sans"/>
            <w:color w:val="0000ee"/>
            <w:sz w:val="24"/>
            <w:szCs w:val="24"/>
            <w:u w:val="single"/>
            <w:rtl w:val="0"/>
          </w:rPr>
          <w:t xml:space="preserve">https://analystprep.com/cfa-level-1-exam/ethical-and-professional-standards/the-gips-standards/</w:t>
        </w:r>
      </w:hyperlink>
      <w:r w:rsidDel="00000000" w:rsidR="00000000" w:rsidRPr="00000000">
        <w:rPr>
          <w:rtl w:val="0"/>
        </w:rPr>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Investment Performance Standards (GIPS®) - NASRA, accessed March 12, 2026, </w:t>
      </w:r>
      <w:hyperlink r:id="rId46">
        <w:r w:rsidDel="00000000" w:rsidR="00000000" w:rsidRPr="00000000">
          <w:rPr>
            <w:rFonts w:ascii="Google Sans" w:cs="Google Sans" w:eastAsia="Google Sans" w:hAnsi="Google Sans"/>
            <w:color w:val="0000ee"/>
            <w:sz w:val="24"/>
            <w:szCs w:val="24"/>
            <w:u w:val="single"/>
            <w:rtl w:val="0"/>
          </w:rPr>
          <w:t xml:space="preserve">https://www.nasra.org/Files/Topical%20Reports/Investment/GIPS.pdf</w:t>
        </w:r>
      </w:hyperlink>
      <w:r w:rsidDel="00000000" w:rsidR="00000000" w:rsidRPr="00000000">
        <w:rPr>
          <w:rtl w:val="0"/>
        </w:rPr>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Swing Trading Strategy - Quant Savvy, accessed March 12, 2026, </w:t>
      </w:r>
      <w:hyperlink r:id="rId47">
        <w:r w:rsidDel="00000000" w:rsidR="00000000" w:rsidRPr="00000000">
          <w:rPr>
            <w:rFonts w:ascii="Google Sans" w:cs="Google Sans" w:eastAsia="Google Sans" w:hAnsi="Google Sans"/>
            <w:color w:val="0000ee"/>
            <w:sz w:val="24"/>
            <w:szCs w:val="24"/>
            <w:u w:val="single"/>
            <w:rtl w:val="0"/>
          </w:rPr>
          <w:t xml:space="preserve">https://quantsavvy.com/swing-trading-strategy/</w:t>
        </w:r>
      </w:hyperlink>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Indicators for Swing Trading Every Trader Should Know - ThinkMarkets, accessed March 12, 2026, </w:t>
      </w:r>
      <w:hyperlink r:id="rId48">
        <w:r w:rsidDel="00000000" w:rsidR="00000000" w:rsidRPr="00000000">
          <w:rPr>
            <w:rFonts w:ascii="Google Sans" w:cs="Google Sans" w:eastAsia="Google Sans" w:hAnsi="Google Sans"/>
            <w:color w:val="0000ee"/>
            <w:sz w:val="24"/>
            <w:szCs w:val="24"/>
            <w:u w:val="single"/>
            <w:rtl w:val="0"/>
          </w:rPr>
          <w:t xml:space="preserve">https://www.thinkmarkets.com/en/trading-academy/indicators-and-patterns/best-indicators-for-swing-trading/</w:t>
        </w:r>
      </w:hyperlink>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 overhauls securities market rules to boost foreign investment - The Investor, accessed March 12, 2026, </w:t>
      </w:r>
      <w:hyperlink r:id="rId49">
        <w:r w:rsidDel="00000000" w:rsidR="00000000" w:rsidRPr="00000000">
          <w:rPr>
            <w:rFonts w:ascii="Google Sans" w:cs="Google Sans" w:eastAsia="Google Sans" w:hAnsi="Google Sans"/>
            <w:color w:val="0000ee"/>
            <w:sz w:val="24"/>
            <w:szCs w:val="24"/>
            <w:u w:val="single"/>
            <w:rtl w:val="0"/>
          </w:rPr>
          <w:t xml:space="preserve">https://theinvestor.vn/vietnam-overhauls-securities-market-rules-to-boost-foreign-investment-d17003.html</w:t>
        </w:r>
      </w:hyperlink>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Decree No. 245/2025/ND-CP to create more favorable conditions for foreign investors to participate in the Viet Nam's securities market 09 12, 2025 - Detail, accessed March 12, 2026, </w:t>
      </w:r>
      <w:hyperlink r:id="rId50">
        <w:r w:rsidDel="00000000" w:rsidR="00000000" w:rsidRPr="00000000">
          <w:rPr>
            <w:rFonts w:ascii="Google Sans" w:cs="Google Sans" w:eastAsia="Google Sans" w:hAnsi="Google Sans"/>
            <w:color w:val="0000ee"/>
            <w:sz w:val="24"/>
            <w:szCs w:val="24"/>
            <w:u w:val="single"/>
            <w:rtl w:val="0"/>
          </w:rPr>
          <w:t xml:space="preserve">https://ssc.gov.vn/webcenter/portal/ssc/pages_r/l/chitit?dDocName=APPSSCGOVVN1620158762</w:t>
        </w:r>
      </w:hyperlink>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Vietnam's New Capital Gains Tax Rules For Foreign Enterprises, accessed March 12, 2026, </w:t>
      </w:r>
      <w:hyperlink r:id="rId51">
        <w:r w:rsidDel="00000000" w:rsidR="00000000" w:rsidRPr="00000000">
          <w:rPr>
            <w:rFonts w:ascii="Google Sans" w:cs="Google Sans" w:eastAsia="Google Sans" w:hAnsi="Google Sans"/>
            <w:color w:val="0000ee"/>
            <w:sz w:val="24"/>
            <w:szCs w:val="24"/>
            <w:u w:val="single"/>
            <w:rtl w:val="0"/>
          </w:rPr>
          <w:t xml:space="preserve">https://vietnam-business-law.info/blog/2025/9/4/vietnams-new-capital-gains-tax-rules-for-foreign-enterprises</w:t>
        </w:r>
      </w:hyperlink>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Interval-Valued Time Series Prediction for Vietnam Stock Indicators Based on Ensemble Long Short-Term Memory Networks | Request PDF - ResearchGate, accessed March 12, 2026,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https://www.researchgate.net/publication/390036688_Interval-Valued_Time_Series_Prediction_for_Vietnam_Stock_Indicators_Based_on_Ensemble_Long_Short-Term_Memory_Networks</w:t>
        </w:r>
      </w:hyperlink>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to Forecast Financial Bubbles in Stock Markets: Evidence from Vietnam, accessed March 12, 2026, </w:t>
      </w:r>
      <w:hyperlink r:id="rId53">
        <w:r w:rsidDel="00000000" w:rsidR="00000000" w:rsidRPr="00000000">
          <w:rPr>
            <w:rFonts w:ascii="Google Sans" w:cs="Google Sans" w:eastAsia="Google Sans" w:hAnsi="Google Sans"/>
            <w:color w:val="0000ee"/>
            <w:sz w:val="24"/>
            <w:szCs w:val="24"/>
            <w:u w:val="single"/>
            <w:rtl w:val="0"/>
          </w:rPr>
          <w:t xml:space="preserve">https://www.mdpi.com/2227-7072/11/4/133</w:t>
        </w:r>
      </w:hyperlink>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Ministry proposes 0.1 per cent tax on crypto assets trading - Vietnam Law and Legal Forum, accessed March 12, 2026, </w:t>
      </w:r>
      <w:hyperlink r:id="rId54">
        <w:r w:rsidDel="00000000" w:rsidR="00000000" w:rsidRPr="00000000">
          <w:rPr>
            <w:rFonts w:ascii="Google Sans" w:cs="Google Sans" w:eastAsia="Google Sans" w:hAnsi="Google Sans"/>
            <w:color w:val="0000ee"/>
            <w:sz w:val="24"/>
            <w:szCs w:val="24"/>
            <w:u w:val="single"/>
            <w:rtl w:val="0"/>
          </w:rPr>
          <w:t xml:space="preserve">https://vietnamlawmagazine.vn/ministry-proposes-01-per-cent-tax-on-crypto-assets-trading-78643.html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bcsf.tsinghua.edu.cn/__local/7/F5/A9/E0366D36DF73499C8CBFB66C505_4D50779F_1C1EEF.pdf" TargetMode="External"/><Relationship Id="rId42" Type="http://schemas.openxmlformats.org/officeDocument/2006/relationships/hyperlink" Target="https://vietnam.incorp.asia/vietnam-capital-gains-tax-in-2025/" TargetMode="External"/><Relationship Id="rId41" Type="http://schemas.openxmlformats.org/officeDocument/2006/relationships/hyperlink" Target="https://english.luatvietnam.vn/legal-updates/from-april-29-2025-service-fees-in-the-securities-sector-at-the-vietnam-stock-exchange-892-101999-article.html" TargetMode="External"/><Relationship Id="rId44" Type="http://schemas.openxmlformats.org/officeDocument/2006/relationships/hyperlink" Target="https://www.gipsstandards.org/wp-content/uploads/2021/03/2020_gips_standards_firms.pdf" TargetMode="External"/><Relationship Id="rId43" Type="http://schemas.openxmlformats.org/officeDocument/2006/relationships/hyperlink" Target="https://rpc.cfainstitute.org/gips-standards" TargetMode="External"/><Relationship Id="rId46" Type="http://schemas.openxmlformats.org/officeDocument/2006/relationships/hyperlink" Target="https://www.nasra.org/Files/Topical%20Reports/Investment/GIPS.pdf" TargetMode="External"/><Relationship Id="rId45" Type="http://schemas.openxmlformats.org/officeDocument/2006/relationships/hyperlink" Target="https://analystprep.com/cfa-level-1-exam/ethical-and-professional-standards/the-gips-standar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www.thinkmarkets.com/en/trading-academy/indicators-and-patterns/best-indicators-for-swing-trading/" TargetMode="External"/><Relationship Id="rId47" Type="http://schemas.openxmlformats.org/officeDocument/2006/relationships/hyperlink" Target="https://quantsavvy.com/swing-trading-strategy/" TargetMode="External"/><Relationship Id="rId49" Type="http://schemas.openxmlformats.org/officeDocument/2006/relationships/hyperlink" Target="https://theinvestor.vn/vietnam-overhauls-securities-market-rules-to-boost-foreign-investment-d17003.htm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en.vietnamplus.vn/vietnams-stock-market-closes-2025-with-impressive-41-gain-post335320.vnp" TargetMode="External"/><Relationship Id="rId30" Type="http://schemas.openxmlformats.org/officeDocument/2006/relationships/hyperlink" Target="https://en.wikipedia.org/wiki/Graham_number" TargetMode="External"/><Relationship Id="rId33" Type="http://schemas.openxmlformats.org/officeDocument/2006/relationships/hyperlink" Target="https://www.dbc.wroc.pl/Content/121958/Nawrocki_Effectiveness_of_Monte_Carlo.pdf" TargetMode="External"/><Relationship Id="rId32" Type="http://schemas.openxmlformats.org/officeDocument/2006/relationships/hyperlink" Target="https://drpress.org/ojs/index.php/HBEM/article/view/27378" TargetMode="External"/><Relationship Id="rId35" Type="http://schemas.openxmlformats.org/officeDocument/2006/relationships/hyperlink" Target="https://bookmap.com/blog/volume-profile-order-flow-tools-for-deep-market-insight" TargetMode="External"/><Relationship Id="rId34" Type="http://schemas.openxmlformats.org/officeDocument/2006/relationships/hyperlink" Target="https://in.tradingview.com/scripts/whale/" TargetMode="External"/><Relationship Id="rId37" Type="http://schemas.openxmlformats.org/officeDocument/2006/relationships/hyperlink" Target="https://vn.tradingview.com/scripts/whales/" TargetMode="External"/><Relationship Id="rId36" Type="http://schemas.openxmlformats.org/officeDocument/2006/relationships/hyperlink" Target="https://www.tradingview.com/chart/XAUUSD/58ZAm02a-How-Whales-Manipulate-Markets-A-Trader-s-Guide-to-Succeed/" TargetMode="External"/><Relationship Id="rId39" Type="http://schemas.openxmlformats.org/officeDocument/2006/relationships/hyperlink" Target="https://ieeexplore.ieee.org/document/9953803/" TargetMode="External"/><Relationship Id="rId38" Type="http://schemas.openxmlformats.org/officeDocument/2006/relationships/hyperlink" Target="https://www.bbh.com/us/en/insights/investor-services-insights/emerging-markets-in-the-news-what-investors-need-to-know.html" TargetMode="External"/><Relationship Id="rId20" Type="http://schemas.openxmlformats.org/officeDocument/2006/relationships/hyperlink" Target="https://www.winvesta.in/blog/investors/intrinsic-value-calculation-a-practical-framework" TargetMode="External"/><Relationship Id="rId22" Type="http://schemas.openxmlformats.org/officeDocument/2006/relationships/hyperlink" Target="https://www.mbs.com.vn/files/uploads/2025/04/mbs_vn-dynamics-2025_eng-1.pdf" TargetMode="External"/><Relationship Id="rId21" Type="http://schemas.openxmlformats.org/officeDocument/2006/relationships/hyperlink" Target="https://vir.com.vn/stock-market-posts-resilient-2025-performance-143304.html" TargetMode="External"/><Relationship Id="rId24" Type="http://schemas.openxmlformats.org/officeDocument/2006/relationships/hyperlink" Target="https://masvn.com/api/attachment/file/1768212082312-MASVN_RS_Strategy_2026_01.pdf" TargetMode="External"/><Relationship Id="rId23" Type="http://schemas.openxmlformats.org/officeDocument/2006/relationships/hyperlink" Target="https://timvest.ch/vietnam-macro-stock-market-june-2025" TargetMode="External"/><Relationship Id="rId26" Type="http://schemas.openxmlformats.org/officeDocument/2006/relationships/hyperlink" Target="https://www.investing.com/academy/analysis/benjamin-graham-number-definition/" TargetMode="External"/><Relationship Id="rId25" Type="http://schemas.openxmlformats.org/officeDocument/2006/relationships/hyperlink" Target="https://www.kotakneo.com/investing-guide/share-market/what-is-graham-number/" TargetMode="External"/><Relationship Id="rId28" Type="http://schemas.openxmlformats.org/officeDocument/2006/relationships/hyperlink" Target="https://aquis-capital.com/news/vietnam-stock-market-outlook-october-2025-stability-reform-and-renewed-investor-confidence" TargetMode="External"/><Relationship Id="rId27" Type="http://schemas.openxmlformats.org/officeDocument/2006/relationships/hyperlink" Target="https://en.nhandan.vn/viet-nams-stock-market-closes-2025-with-impressive-41-gain-post157479.html" TargetMode="External"/><Relationship Id="rId29" Type="http://schemas.openxmlformats.org/officeDocument/2006/relationships/hyperlink" Target="https://www.pyn.fi/en/blog/2026/vietnams-bizarre-stock-market-performance-in-2025/" TargetMode="External"/><Relationship Id="rId51" Type="http://schemas.openxmlformats.org/officeDocument/2006/relationships/hyperlink" Target="https://vietnam-business-law.info/blog/2025/9/4/vietnams-new-capital-gains-tax-rules-for-foreign-enterprises" TargetMode="External"/><Relationship Id="rId50" Type="http://schemas.openxmlformats.org/officeDocument/2006/relationships/hyperlink" Target="https://ssc.gov.vn/webcenter/portal/ssc/pages_r/l/chitit?dDocName=APPSSCGOVVN1620158762" TargetMode="External"/><Relationship Id="rId53" Type="http://schemas.openxmlformats.org/officeDocument/2006/relationships/hyperlink" Target="https://www.mdpi.com/2227-7072/11/4/133" TargetMode="External"/><Relationship Id="rId52" Type="http://schemas.openxmlformats.org/officeDocument/2006/relationships/hyperlink" Target="https://www.researchgate.net/publication/390036688_Interval-Valued_Time_Series_Prediction_for_Vietnam_Stock_Indicators_Based_on_Ensemble_Long_Short-Term_Memory_Networks" TargetMode="External"/><Relationship Id="rId11" Type="http://schemas.openxmlformats.org/officeDocument/2006/relationships/image" Target="media/image7.png"/><Relationship Id="rId10" Type="http://schemas.openxmlformats.org/officeDocument/2006/relationships/image" Target="media/image4.png"/><Relationship Id="rId54" Type="http://schemas.openxmlformats.org/officeDocument/2006/relationships/hyperlink" Target="https://vietnamlawmagazine.vn/ministry-proposes-01-per-cent-tax-on-crypto-assets-trading-78643.html" TargetMode="External"/><Relationship Id="rId13" Type="http://schemas.openxmlformats.org/officeDocument/2006/relationships/hyperlink" Target="https://www.vaneck.com/us/en/blogs/emerging-markets-equity/vietnams-market-reform-wave-a-market-at-a-turning-point/" TargetMode="External"/><Relationship Id="rId12" Type="http://schemas.openxmlformats.org/officeDocument/2006/relationships/image" Target="media/image6.png"/><Relationship Id="rId15" Type="http://schemas.openxmlformats.org/officeDocument/2006/relationships/hyperlink" Target="https://vietnamnews.vn/economy/1732935/record-highs-structural-change-shape-viet-nam-s-stock-market-in-2025.html" TargetMode="External"/><Relationship Id="rId14" Type="http://schemas.openxmlformats.org/officeDocument/2006/relationships/hyperlink" Target="https://vccinews.com/news/62361/stock-market-2026-new-opportunities-from-market-upgrade-and-re-rating.html" TargetMode="External"/><Relationship Id="rId17" Type="http://schemas.openxmlformats.org/officeDocument/2006/relationships/hyperlink" Target="https://www.lseg.com/en/insights/ftse-russell/vietnam-the-asean-powerhouse" TargetMode="External"/><Relationship Id="rId16" Type="http://schemas.openxmlformats.org/officeDocument/2006/relationships/hyperlink" Target="https://vir.com.vn/new-rules-ease-foreign-access-to-vietnam-equities-146204.html" TargetMode="External"/><Relationship Id="rId19" Type="http://schemas.openxmlformats.org/officeDocument/2006/relationships/hyperlink" Target="https://ssc.gov.vn/webcenter/portal/ssc/pages_r/l/chitit?dDocName=APPSSCGOVVN1620154394" TargetMode="External"/><Relationship Id="rId18" Type="http://schemas.openxmlformats.org/officeDocument/2006/relationships/hyperlink" Target="https://chenjiazizhong.com/2025/03/26/ai-powered-stock-forecasting-model-in-vietna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