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Financial Application Architecture and Operational Performance in the 2026 Vietnamese Capital Market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Vietnamese capital market is undergoing a structural realignment of historical proportions, transitioning from a frontier classification toward secondary emerging market status as defined by global index providers such as FTSE Russell.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any financial application operating within this ecosystem, performance is no longer a static metric of uptime or latency; rather, it is a dynamic measure of synchronization with the rapidly evolving regulatory framework, the technical specificities of the KRX trading system, and the stringent data protection requirements of Decree 356/2025/ND-CP.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report provides an exhaustive assessment of the operational performance of such an application, identifying areas of alignment, significant skews in data representation, and the necessary architectural adjustments required to maintain precision in a high-stakes, institutionalizing market.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Market Context and Infrastructure Modernization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performance for a Vietnamese financial application is its ability to navigate the transition from legacy frontier market mechanisms to the "Secondary Emerging Market" framework mandated by Prime Minister Decision 2014/QD-TTg.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decision, issued in September 2025, sets the stage for a complete overhaul of the market’s mobilization of medium- and long-term capital.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upgrade is not merely a label but a technical requirement that influences every aspect of trade execution and data processing.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KRX System Integration and Execution Accuracy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central pillar of the 2025-2026 market is the KRX trading system, developed in partnership with the Korea Exchange to replace legacy infrastructure that was prone to system overloads during periods of high retail activity.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accuracy of an application's execution engine is fundamentally compromised if it has not successfully migrated from the old "Market Price" (MP) order type to the new "Market-to-Limit" (MTL) logic.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KRX protocols, the MTL order type automatically converts the unmatched portion of a market order into a standard limit order (LO) at the nearest matched price.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mechanism provides a critical safeguard against price slippage in volatile sessions. Applications that still exhibit legacy MP behavior or fail to correctly handle the conversion to LO provide skewed execution data, which can lead to significant financial discrepancies for institutional users. Furthermore, the KRX system introduces more rigid rules for order modification. A modification of either price or volume is permitted per action, but never both simultaneously.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analysis indicates that increasing volume or modifying price resets the order’s time priority, whereas decreasing volume preserves it.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Any application failing to signal these priority resets to the user is providing inaccurate operational guidance.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System (Pre-2025)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KRX System (Post-May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Order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MP (Market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MTL (Market-to-Limit)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Prevails against price gaps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 Modification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Less structured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Single-attribute modification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Impacts time priority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Settlement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T+2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Shortened / Path to T+0/T+1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Affects liquidity turnover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Frequent congestion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High-volume Korean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Supports 2026 scale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Alignment with Circular 08/2026/TT-BTC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issuance of Circular 08/2026/TT-BTC by the Ministry of Finance in February 2026 marks a definitive shift in the accessibility of the Vietnamese market for foreign institutional investors.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circular addresses the primary technical barrier identified by FTSE Russell: the mandatory 100% pre-funding requirement.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financial application, alignment with Circular 08 is critical for institutional adoption.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circular enables "Non-Pre-funding" (NPF) trading mechanisms for foreign institutional investors, allowing them to place orders through global brokers without local cash deposits at the time of order entry.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flexibility introduces high regulatory risk. Investors who fail to meet settlement obligations are subject to immediate suspension from the NPF mechanism for seven consecutive trading days, with three violations within a 30-day window resulting in a 180-day suspension.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application’s performance in risk management is therefore measured by its ability to track these settlement obligations in real-time. Failure to provide accurate settlement warnings represents a catastrophic performance gap that can jeopardize a client’s market access.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Strategy Assessment and Alpha Integrity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Vietnamese market exhibits "weak form" efficiency, where information asymmetry is prevalent and retail herding often drives price movements regardless of fundamental valuations.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Performance assessment of an application’s quantitative models reveals that many strategies are skewed by a failure to account for these localized behaviors.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Accuracy of Technical Indicators in Retail-Driven Markets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analysis is the dominant methodology for the vast majority of retail participants in Vietnam, who now hold more than 2.7 million accounts.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Ichimoku Kinkohyo (Cloud) chart is particularly prominent, as its simple visual representation of support, resistance, and momentum aligns well with the Vietnamese trading psychology.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precision of the Ichimoku indicator is vital. The application must calculate the five core lines based on the 5-hour daily trading window (255 minutes) standard in the Vietnamese market.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formulas are integrated as follows: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Tenkan-sen (Conversion 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852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62852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Kijun-sen (Base 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8523"/>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62852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Senkou Span A (Leading Span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8523"/>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05500" cy="62852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(projected 26 days forward) </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Senkou Span B (Leading Span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8523"/>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62852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(projected 26 days forward) </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Chikou Span (Lagging Span):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91034"/>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49103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(plotted 26 days back) </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evaluations indicate that Ichimoku and MACD (Moving Average Convergence Divergence) show high accuracy in predicting VN-Index movements.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the Relative Strength Index (RSI) frequently demonstrates a disparity with actual price trends in the Vietnamese context, often staying in overbought or oversold territories for extended periods due to retail momentum.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Applications that rely heavily on RSI for mean-reversion signals without localized weighting are fundamentally skewed.</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Information Asymmetry and Sentiment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the inconsistent disclosure practices of many state-owned enterprises (SOEs) and smaller listed firms, an application must move beyond traditional fundamental analysis.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Reliability is achieved by incorporating Natural Language Processing (NLP) models specifically optimized for the Vietnamese language, such as PhoBERT.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Strategy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Adjustment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Sentiment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Skewed by slang/social media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PhoBERT with localized finance lexicons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Earnings Timing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Often opaque or leaked early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Monitor social media surges and insider volume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Retail Herding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correlation among "favorite" stocks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 correlation clusters across retail groups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Signal Noise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volatility leads to false signals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Kalman filters or multi-factor confirmation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presence of "smart money" signals—unexplained price gaps, volume surges, or insider trading activity—serves as a proxy for information that is not yet public.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Quantitative performance is significantly enhanced when these proxy variables are treated as primary inputs rather than secondary outliers.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Integrity Standards: Adjusted Prices and Library Reliability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source of error in many Vietnamese financial applications is the improper handling of historical price data. In a market where stock splits and high cash/stock dividends are common, using raw (unadjusted) prices for backtesting and technical analysis is a fatal flaw.</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Necessity of Multiplicative Adjustment Factors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Without price adjustments, a 2-for-1 stock split appears as a 50% loss, triggering false sell signals in any automated system.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maintain a consistent measurement of value over time, the application must implement multiplicative backward adjustments.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adjustment factor for a dividend event is calculated as: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8671"/>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05500" cy="61867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All prices preceding the dividend date must be divided by this factor to preserve the historical return profile.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stock splits, the adjustment involves dividing historical prices by the split ratio while multiplying volumes by the same ratio to maintain liquidity alignment.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Applications using the vnstock library (v3.4.0) have an advantage, as the library has transitioned to KBS as its default source to improve data reliability and has introduced "Smart Lookback" features to handle these historical corrections automatically.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Source Stability and Library Dependencies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reliability of a Vietnamese financial application is inextricably linked to its underlying data pipeline. The vnstock library is the de facto standard for Python-based analysis in the region, supporting everything from real-time prices to financial indicators and company profiles.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dependencies on third-party sources like KBS, TCBS, or DNSE introduce risks of IP blocking and API changes.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is maintained through:</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Source Redundancy:</w:t>
      </w:r>
      <w:r w:rsidDel="00000000" w:rsidR="00000000" w:rsidRPr="00000000">
        <w:rPr>
          <w:rFonts w:ascii="Google Sans" w:cs="Google Sans" w:eastAsia="Google Sans" w:hAnsi="Google Sans"/>
          <w:color w:val="1f1f1f"/>
          <w:rtl w:val="0"/>
        </w:rPr>
        <w:t xml:space="preserve"> Utilizing a unified package like vntickers, which combines vnstock, vnquant, and vietfin into a single source of truth.</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Header and Proxy Management:</w:t>
      </w:r>
      <w:r w:rsidDel="00000000" w:rsidR="00000000" w:rsidRPr="00000000">
        <w:rPr>
          <w:rFonts w:ascii="Google Sans" w:cs="Google Sans" w:eastAsia="Google Sans" w:hAnsi="Google Sans"/>
          <w:color w:val="1f1f1f"/>
          <w:rtl w:val="0"/>
        </w:rPr>
        <w:t xml:space="preserve"> Implementing dynamic user-agent rotation and proxy support to circumvent the frequent IP blocking practiced by Vietnamese securities firms.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Authentication Utilities:</w:t>
      </w:r>
      <w:r w:rsidDel="00000000" w:rsidR="00000000" w:rsidRPr="00000000">
        <w:rPr>
          <w:rFonts w:ascii="Google Sans" w:cs="Google Sans" w:eastAsia="Google Sans" w:hAnsi="Google Sans"/>
          <w:color w:val="1f1f1f"/>
          <w:rtl w:val="0"/>
        </w:rPr>
        <w:t xml:space="preserve"> Transitioning to official Vnstock API keys for registered users to ensure uninterrupted data access.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Protection Compliance under Decree 356/2025/ND-CP</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regulatory landscape for data in Vietnam has shifted dramatically with the implementation of the Law on Personal Data Protection (PDPL) and its guiding Decree 356/2025/ND-CP, effective January 1, 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new regime is significantly more stringent than the previous Decree 13/2023/ND-CP, moving toward a fully institutionalized and enforcement-oriented framework.</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Reclassification and Sensitive Data Management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performance requirement for any fintech application is the correct classification of data. Decree 356 has reclassified several categories from basic to sensitive, including bank account details, transaction histories, and behavioral tracking data.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processing of sensitive data triggers immediate mandatory obligations:</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Mandatory DPO:</w:t>
      </w:r>
      <w:r w:rsidDel="00000000" w:rsidR="00000000" w:rsidRPr="00000000">
        <w:rPr>
          <w:rFonts w:ascii="Google Sans" w:cs="Google Sans" w:eastAsia="Google Sans" w:hAnsi="Google Sans"/>
          <w:color w:val="1f1f1f"/>
          <w:rtl w:val="0"/>
        </w:rPr>
        <w:t xml:space="preserve"> The organization must appoint a Data Protection Officer with at least 2 years of relevant experience and a college degree.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Annual Compliance Assessments:</w:t>
      </w:r>
      <w:r w:rsidDel="00000000" w:rsidR="00000000" w:rsidRPr="00000000">
        <w:rPr>
          <w:rFonts w:ascii="Google Sans" w:cs="Google Sans" w:eastAsia="Google Sans" w:hAnsi="Google Sans"/>
          <w:color w:val="1f1f1f"/>
          <w:rtl w:val="0"/>
        </w:rPr>
        <w:t xml:space="preserve"> Organizations must conduct and document annual reviews of their data protection practices.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Substantive Impact Assessments:</w:t>
      </w:r>
      <w:r w:rsidDel="00000000" w:rsidR="00000000" w:rsidRPr="00000000">
        <w:rPr>
          <w:rFonts w:ascii="Google Sans" w:cs="Google Sans" w:eastAsia="Google Sans" w:hAnsi="Google Sans"/>
          <w:color w:val="1f1f1f"/>
          <w:rtl w:val="0"/>
        </w:rPr>
        <w:t xml:space="preserve"> Data Processing Impact Assessments (DPIA) and Cross-border Data Transfer Impact Assessments (CDTIA) must be submitted to the Ministry of Public Security via the A05 department.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Reclassification (Decree 356)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 Account / Card 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Encryption &amp; Anonymization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Transaction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 Access Authorization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Behavioral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Sensitive (previously Basic)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Physical Security for Storage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Biometric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Immediate Breach Notification </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Verifiable Consent and Data Subject Rights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must implement explicit "Verifiable Consent" mechanisms. Decree 356 prohibits default consent, pre-ticked boxes, and misleading interface designs.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Consent must be traceable to the data subject’s identity, the time it was given, and the specific scope.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application must manage the new, differentiated timelines for data subject rights. While the previous regime often relied on a blanket 72-hour window, the 2026 standards require:</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Acknowledgement:</w:t>
      </w:r>
      <w:r w:rsidDel="00000000" w:rsidR="00000000" w:rsidRPr="00000000">
        <w:rPr>
          <w:rFonts w:ascii="Google Sans" w:cs="Google Sans" w:eastAsia="Google Sans" w:hAnsi="Google Sans"/>
          <w:color w:val="1f1f1f"/>
          <w:rtl w:val="0"/>
        </w:rPr>
        <w:t xml:space="preserve"> Within 2 working days.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Access/Correction:</w:t>
      </w:r>
      <w:r w:rsidDel="00000000" w:rsidR="00000000" w:rsidRPr="00000000">
        <w:rPr>
          <w:rFonts w:ascii="Google Sans" w:cs="Google Sans" w:eastAsia="Google Sans" w:hAnsi="Google Sans"/>
          <w:color w:val="1f1f1f"/>
          <w:rtl w:val="0"/>
        </w:rPr>
        <w:t xml:space="preserve"> Completion within 10 days.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Consent Withdrawal:</w:t>
      </w:r>
      <w:r w:rsidDel="00000000" w:rsidR="00000000" w:rsidRPr="00000000">
        <w:rPr>
          <w:rFonts w:ascii="Google Sans" w:cs="Google Sans" w:eastAsia="Google Sans" w:hAnsi="Google Sans"/>
          <w:color w:val="1f1f1f"/>
          <w:rtl w:val="0"/>
        </w:rPr>
        <w:t xml:space="preserve"> Implementation within 15 days.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Deletion:</w:t>
      </w:r>
      <w:r w:rsidDel="00000000" w:rsidR="00000000" w:rsidRPr="00000000">
        <w:rPr>
          <w:rFonts w:ascii="Google Sans" w:cs="Google Sans" w:eastAsia="Google Sans" w:hAnsi="Google Sans"/>
          <w:color w:val="1f1f1f"/>
          <w:rtl w:val="0"/>
        </w:rPr>
        <w:t xml:space="preserve"> Completion within 20 days.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Applications that do not have automated workflows for these timelines are non-compliant and face significant administrative sanctions.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Crypto Asset Pilot: A New Regulatory Frontier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January 2026, Vietnam formally opened the licensing window for crypto asset trading platforms under the Ministry of Finance's Decision No. 96/QD-BTC.</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pilot program operationalizes the 2025 Law on the Digital Technology Industry, which recognizes crypto assets as property but explicitly excludes them from legal tender status.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Restrictive Licensing and Capitalization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performance of an application seeking to enter this space is judged by its ability to meet one of the highest capital thresholds in the region. Applicants must have a minimum paid-in charter capital of VND 10 trillion (approximately USD 400 million).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framework is designed to be "anti-chaos," favoring large, established financial institutions over crypto-native startups.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institutional requirements include:</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Shareholder Structure:</w:t>
      </w:r>
      <w:r w:rsidDel="00000000" w:rsidR="00000000" w:rsidRPr="00000000">
        <w:rPr>
          <w:rFonts w:ascii="Google Sans" w:cs="Google Sans" w:eastAsia="Google Sans" w:hAnsi="Google Sans"/>
          <w:color w:val="1f1f1f"/>
          <w:rtl w:val="0"/>
        </w:rPr>
        <w:t xml:space="preserve"> At least 65% of capital must be held by institutional shareholders, with 35% held by regulated institutions such as banks or securities firms.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Executive Qualifications:</w:t>
      </w:r>
      <w:r w:rsidDel="00000000" w:rsidR="00000000" w:rsidRPr="00000000">
        <w:rPr>
          <w:rFonts w:ascii="Google Sans" w:cs="Google Sans" w:eastAsia="Google Sans" w:hAnsi="Google Sans"/>
          <w:color w:val="1f1f1f"/>
          <w:rtl w:val="0"/>
        </w:rPr>
        <w:t xml:space="preserve"> The CEO must have at least 2 years of experience in regulated finance, and the CTO must have 5 years in financial/enterprise technology.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Cybersecurity Compliance:</w:t>
      </w:r>
      <w:r w:rsidDel="00000000" w:rsidR="00000000" w:rsidRPr="00000000">
        <w:rPr>
          <w:rFonts w:ascii="Google Sans" w:cs="Google Sans" w:eastAsia="Google Sans" w:hAnsi="Google Sans"/>
          <w:color w:val="1f1f1f"/>
          <w:rtl w:val="0"/>
        </w:rPr>
        <w:t xml:space="preserve"> Mandatory employment of 10 cybersecurity-qualified IT personnel and government security approval by the Ministry of Public Security.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Applications must integrate these high-security thresholds into their core architecture, ensuring that digital assets are handled with the same rigor as traditional securities. The system must also be prepared for an "intensive supervision" model, where licenses can be revoked within five working days for compliance failures.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Fiscal Environment and Transactional Precision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performance of an application is also subject to the evolving tax and fee structure of the Vietnamese market. As the Ministry of Finance works to expand the digital economy, new fee schedules and tax proposals have emerged that directly impact retail and institutional profitability.</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 Costs and Proposed Tax Shifts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Decision No. 1541/QD-BTC, effective April 29, 2025, the trading service fee for shares is set at 0.027% of the trading value.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For a financial application to be precise, these costs must be accurately reflected in all net profit calculations.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Fee (Decision 1541)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Rate / 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Recipient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Regular Share Trading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0.027% of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Vietnam Stock Exchange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Corporate Bond Trading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0.0054% of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Vietnam Stock Exchange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 Listing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VND 10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Hanoi Stock Exchange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Membership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VND 20 million /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Vietnam Stock Exchange </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potential skew in performance forecasting is the proposed change to the Personal Income Tax law. Currently, individual investors pay a 0.1% flat tax on the total sale value.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However, the Ministry of Finance has proposed a shift to a 20% tax on net profits.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If implemented, this would fundamentally alter the risk-reward profile of short-term trading, as net returns on the average 9–12% annual market gain would shrink significantly.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Applications must offer "Scenario-based Responses" to help investors evaluate their portfolios under these different tax regimes.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ESG and the Carbon Trading Market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operationalization of Vietnam’s first carbon trading market under Decree 29/2026, applications must now consider Environmental, Social, and Governance (ESG) data as a material factor.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transition to direct and indirect carbon pricing will impact energy-intensive sectors, which are major components of the VN-Index. Quantitative models should begin integrating emissions data to assess the "external costs" associated with fossil fuel consumption and potential carbon tax liabilities.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Framework: Trading Hours and Systemic Events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Accuracy in the Vietnamese market requires perfect synchronization with the trading sessions of HOSE, HNX, and UPCOM. This is particularly complex given the ongoing restructuring where all listed stocks on HNX are scheduled to be transferred to HOSE by December 31, 2026.</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Synchronized Trading Timetable (2026)</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 exchanges operate Monday through Friday, excluding public holidays. The 2026 holiday calendar includes the Lunar New Year (Tet) period from February 14 to February 22, and the newly added Vietnam Culture Day.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Session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HOSE (HSX)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HNX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UPCOM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Opening Call (ATO)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09:00 - 09:15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Matching 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09:15 - 11:30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09:00 - 11:30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09:00 - 11:30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Midday Break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11:30 - 13:00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11:30 - 13:00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11:30 - 13:00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Matching 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13:00 - 14:30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13:00 - 14:30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13:00 - 15:00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Closing Call (ATC)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14:30 - 14:45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14:30 - 14:45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After-Hours (PLO)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14:45 - 15:00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Put-Through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09:00 - 15:00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09:00 - 15:00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09:00 - 15:00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must also account for the specific "Odd Lot" trading rules. For round lots, the unit is 100 shares. On UPCOM, odd lot trades (1-99 shares) are permitted through both order matching and put-through methods, but they are restricted on the first trading day of newly listed stocks until a reference price is established.</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Architectural Adjustments for Reliability and Precision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the highest possible level of reliability in the 2026 Vietnamese market, the application must implement a series of structural refinements that align its technical capabilities with the new regulatory and infrastructure realities.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Engineering and Model Validation</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Transition to MTL-Only Logic for HOSE Execution:</w:t>
      </w:r>
      <w:r w:rsidDel="00000000" w:rsidR="00000000" w:rsidRPr="00000000">
        <w:rPr>
          <w:rFonts w:ascii="Google Sans" w:cs="Google Sans" w:eastAsia="Google Sans" w:hAnsi="Google Sans"/>
          <w:color w:val="1f1f1f"/>
          <w:rtl w:val="0"/>
        </w:rPr>
        <w:t xml:space="preserve"> The execution module must be hard-coded to support Market-to-Limit (MTL) orders. This includes a pre-trade validation check to ensure that users are aware that unmatched portions of market orders will convert to Limit Orders at the nearest price tick.</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Implementation of Multiplicative Backward Adjustments:</w:t>
      </w:r>
      <w:r w:rsidDel="00000000" w:rsidR="00000000" w:rsidRPr="00000000">
        <w:rPr>
          <w:rFonts w:ascii="Google Sans" w:cs="Google Sans" w:eastAsia="Google Sans" w:hAnsi="Google Sans"/>
          <w:color w:val="1f1f1f"/>
          <w:rtl w:val="0"/>
        </w:rPr>
        <w:t xml:space="preserve"> The historical data engine must move away from raw closing prices. All backtests must utilize total return series that incorporate both split and dividend adjustments. The engine should provide a toggle for "Split-Adjusted Only" vs. "Total Return" (Split and Dividend Adjusted) to satisfy both technical and fundamental analysts.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Localized Sentiment Scoring (PhoBERT):</w:t>
      </w:r>
      <w:r w:rsidDel="00000000" w:rsidR="00000000" w:rsidRPr="00000000">
        <w:rPr>
          <w:rFonts w:ascii="Google Sans" w:cs="Google Sans" w:eastAsia="Google Sans" w:hAnsi="Google Sans"/>
          <w:color w:val="1f1f1f"/>
          <w:rtl w:val="0"/>
        </w:rPr>
        <w:t xml:space="preserve"> The sentiment signals must be smoothed using Kalman filters to remove the "Retail Echo Bias" found in popular press and social media comments.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model should prioritize news from official disclosure portals (SSC, HOSE) over secondary media reports, which are often delayed or inaccurate.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Slippage and Liquidity Adjusted Backtesting:</w:t>
      </w:r>
      <w:r w:rsidDel="00000000" w:rsidR="00000000" w:rsidRPr="00000000">
        <w:rPr>
          <w:rFonts w:ascii="Google Sans" w:cs="Google Sans" w:eastAsia="Google Sans" w:hAnsi="Google Sans"/>
          <w:color w:val="1f1f1f"/>
          <w:rtl w:val="0"/>
        </w:rPr>
        <w:t xml:space="preserve"> Backtesting simulations must incorporate the actual commission structures of Decision 1541 and apply dynamic slippage models based on Average Daily Volume (ADV) thresholds.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Strategies for small-cap stocks must assume a minimum bid-ask spread constraint of 0.2% to avoid inflated profitability expectations.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and Cybersecurity Hardening</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DPO Appointment and Credential Verification:</w:t>
      </w:r>
      <w:r w:rsidDel="00000000" w:rsidR="00000000" w:rsidRPr="00000000">
        <w:rPr>
          <w:rFonts w:ascii="Google Sans" w:cs="Google Sans" w:eastAsia="Google Sans" w:hAnsi="Google Sans"/>
          <w:color w:val="1f1f1f"/>
          <w:rtl w:val="0"/>
        </w:rPr>
        <w:t xml:space="preserve"> The application’s corporate owner must formally appoint a DPO meeting the college degree and 2-year experience requirement. The DPO’s contact information and training certificates should be kept in a "Compliance Ledger" accessible for Ministry of Public Security audits.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Automated PDPL Timeline Tracking:</w:t>
      </w:r>
      <w:r w:rsidDel="00000000" w:rsidR="00000000" w:rsidRPr="00000000">
        <w:rPr>
          <w:rFonts w:ascii="Google Sans" w:cs="Google Sans" w:eastAsia="Google Sans" w:hAnsi="Google Sans"/>
          <w:color w:val="1f1f1f"/>
          <w:rtl w:val="0"/>
        </w:rPr>
        <w:t xml:space="preserve"> The CRM or user-management module must integrate a tracking system for data subject rights requests. This system should automatically log the date of acknowledgement (Day 2) and flag the deadlines for Access (Day 10), Withdrawal (Day 15), and Deletion (Day 20) to ensure strict adherence to Decree 356.</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Sensitive Data Encryption and Access Logs:</w:t>
      </w:r>
      <w:r w:rsidDel="00000000" w:rsidR="00000000" w:rsidRPr="00000000">
        <w:rPr>
          <w:rFonts w:ascii="Google Sans" w:cs="Google Sans" w:eastAsia="Google Sans" w:hAnsi="Google Sans"/>
          <w:color w:val="1f1f1f"/>
          <w:rtl w:val="0"/>
        </w:rPr>
        <w:t xml:space="preserve"> All reclassified sensitive data (bank accounts, usage tracking) must be stored using AES-256 encryption. Access to this data must be logged with role-based access controls, and logs must be retained for periodic compliance audits.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NPF Mechanism Safeguards:</w:t>
      </w:r>
      <w:r w:rsidDel="00000000" w:rsidR="00000000" w:rsidRPr="00000000">
        <w:rPr>
          <w:rFonts w:ascii="Google Sans" w:cs="Google Sans" w:eastAsia="Google Sans" w:hAnsi="Google Sans"/>
          <w:color w:val="1f1f1f"/>
          <w:rtl w:val="0"/>
        </w:rPr>
        <w:t xml:space="preserve"> For institutional modules, the application should include a real-time "Settlement Risk Monitor" that tracks the settlement cycle of non-pre-funded orders. If a settlement delay is detected, the system should issue an immediate alert to prevent the 7-day suspension penalty associated with Circular 08.</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Future-Proofing for 2026 Market Maturation</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HOSE Integration Roadmap:</w:t>
      </w:r>
      <w:r w:rsidDel="00000000" w:rsidR="00000000" w:rsidRPr="00000000">
        <w:rPr>
          <w:rFonts w:ascii="Google Sans" w:cs="Google Sans" w:eastAsia="Google Sans" w:hAnsi="Google Sans"/>
          <w:color w:val="1f1f1f"/>
          <w:rtl w:val="0"/>
        </w:rPr>
        <w:t xml:space="preserve"> The application must be prepared for the consolidation of all HNX and UPCOM stocks onto the HOSE board by December 31, 2026.</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requires a flexible symbol mapping system that can handle the migration of tickers without losing historical data continuity.</w:t>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Crypto Pilot Readiness:</w:t>
      </w:r>
      <w:r w:rsidDel="00000000" w:rsidR="00000000" w:rsidRPr="00000000">
        <w:rPr>
          <w:rFonts w:ascii="Google Sans" w:cs="Google Sans" w:eastAsia="Google Sans" w:hAnsi="Google Sans"/>
          <w:color w:val="1f1f1f"/>
          <w:rtl w:val="0"/>
        </w:rPr>
        <w:t xml:space="preserve"> For systems seeking to operate as crypto asset service providers, the initial charter capital must be audited to confirm the VND 10 trillion requirement. The internal governance framework must be documented in a written dossier covering proprietary trading, custody, and AML/CFT procedures as required by Decision 96.</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ESG Factor Integration:</w:t>
      </w:r>
      <w:r w:rsidDel="00000000" w:rsidR="00000000" w:rsidRPr="00000000">
        <w:rPr>
          <w:rFonts w:ascii="Google Sans" w:cs="Google Sans" w:eastAsia="Google Sans" w:hAnsi="Google Sans"/>
          <w:color w:val="1f1f1f"/>
          <w:rtl w:val="0"/>
        </w:rPr>
        <w:t xml:space="preserve"> As carbon trading becomes operational, the application should begin scraping Decree 29 related disclosures and integrating "Carbon Intensity" scores into the company profiles of top industrial tickers.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Vietnamese capital market is characterized by a "Professionalization Shock"—a rapid transition from a chaotic frontier environment to a highly regulated, institutionally accessible emerging market. For a financial application, alignment is no longer optional but a baseline for survival. Precision is achieved not through faster data but through more accurate data—specifically, multiplicative split-adjusted historical series and localized sentiment analysis. Reliability is secured through compliance with the PDPL and Decree 356, ensuring that the application remains on the right side of the Ministry of Public Security’s cybersecurity oversight. By implementing the proposed adjustments—from MTL order logic to automated data subject rights workflows—the application will synchronize with the KRX-led modernization and position itself to capture the massive influx of foreign institutional capital expected to follow Vietnam’s official market upgrade.</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rules ease foreign access to Vietnam equities, accessed March 11, 2026, </w:t>
      </w:r>
      <w:hyperlink r:id="rId12">
        <w:r w:rsidDel="00000000" w:rsidR="00000000" w:rsidRPr="00000000">
          <w:rPr>
            <w:rFonts w:ascii="Google Sans" w:cs="Google Sans" w:eastAsia="Google Sans" w:hAnsi="Google Sans"/>
            <w:color w:val="0000ee"/>
            <w:sz w:val="24"/>
            <w:szCs w:val="24"/>
            <w:u w:val="single"/>
            <w:rtl w:val="0"/>
          </w:rPr>
          <w:t xml:space="preserve">https://vir.com.vn/new-rules-ease-foreign-access-to-vietnam-equities-146204.html</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Market Reform Wave: A Market at a Turning Point | VanEck, accessed March 11, 2026, </w:t>
      </w:r>
      <w:hyperlink r:id="rId13">
        <w:r w:rsidDel="00000000" w:rsidR="00000000" w:rsidRPr="00000000">
          <w:rPr>
            <w:rFonts w:ascii="Google Sans" w:cs="Google Sans" w:eastAsia="Google Sans" w:hAnsi="Google Sans"/>
            <w:color w:val="0000ee"/>
            <w:sz w:val="24"/>
            <w:szCs w:val="24"/>
            <w:u w:val="single"/>
            <w:rtl w:val="0"/>
          </w:rPr>
          <w:t xml:space="preserve">https://www.vaneck.com/us/en/blogs/emerging-markets-equity/vietnams-market-reform-wave-a-market-at-a-turning-point/</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New Decree guiding the Personal Data Protection Law – Key Issues for Businesses - Mori Hamada &amp; Matsumoto, accessed March 11, 2026, </w:t>
      </w:r>
      <w:hyperlink r:id="rId14">
        <w:r w:rsidDel="00000000" w:rsidR="00000000" w:rsidRPr="00000000">
          <w:rPr>
            <w:rFonts w:ascii="Google Sans" w:cs="Google Sans" w:eastAsia="Google Sans" w:hAnsi="Google Sans"/>
            <w:color w:val="0000ee"/>
            <w:sz w:val="24"/>
            <w:szCs w:val="24"/>
            <w:u w:val="single"/>
            <w:rtl w:val="0"/>
          </w:rPr>
          <w:t xml:space="preserve">https://www.morihamada.com/en/insights/newsletters/131901</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approves plan to upgrade stock market status, accessed March 11, 2026, </w:t>
      </w:r>
      <w:hyperlink r:id="rId15">
        <w:r w:rsidDel="00000000" w:rsidR="00000000" w:rsidRPr="00000000">
          <w:rPr>
            <w:rFonts w:ascii="Google Sans" w:cs="Google Sans" w:eastAsia="Google Sans" w:hAnsi="Google Sans"/>
            <w:color w:val="0000ee"/>
            <w:sz w:val="24"/>
            <w:szCs w:val="24"/>
            <w:u w:val="single"/>
            <w:rtl w:val="0"/>
          </w:rPr>
          <w:t xml:space="preserve">https://english.luatvietnam.vn/legal-updates/vietnam-approves-plan-to-upgrade-stock-market-status-892-104069-article.html</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KRX SYSTEM HANDBOOK AND CHANGES IN TRADING REGULATIONS - Vietcap, accessed March 11, 2026, </w:t>
      </w:r>
      <w:hyperlink r:id="rId16">
        <w:r w:rsidDel="00000000" w:rsidR="00000000" w:rsidRPr="00000000">
          <w:rPr>
            <w:rFonts w:ascii="Google Sans" w:cs="Google Sans" w:eastAsia="Google Sans" w:hAnsi="Google Sans"/>
            <w:color w:val="0000ee"/>
            <w:sz w:val="24"/>
            <w:szCs w:val="24"/>
            <w:u w:val="single"/>
            <w:rtl w:val="0"/>
          </w:rPr>
          <w:t xml:space="preserve">https://www.vietcap.com.vn/api/cms-api/uploads/froala/files/20250429_eBook_KRX%20&amp;%20Changes%20in%20Trading%20Regulations_%20doc2904.pdf</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Policy boost paves way for Việt Nam's stock market upgrade - Vietnam News, accessed March 11, 2026, </w:t>
      </w:r>
      <w:hyperlink r:id="rId17">
        <w:r w:rsidDel="00000000" w:rsidR="00000000" w:rsidRPr="00000000">
          <w:rPr>
            <w:rFonts w:ascii="Google Sans" w:cs="Google Sans" w:eastAsia="Google Sans" w:hAnsi="Google Sans"/>
            <w:color w:val="0000ee"/>
            <w:sz w:val="24"/>
            <w:szCs w:val="24"/>
            <w:u w:val="single"/>
            <w:rtl w:val="0"/>
          </w:rPr>
          <w:t xml:space="preserve">https://vietnamnews.vn/economy/1765532/policy-boost-paves-way-for-viet-nam-s-stock-market-upgrade.html</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Stock Forecasting Model in Vietnam - Fundopedia, accessed March 11, 2026, </w:t>
      </w:r>
      <w:hyperlink r:id="rId18">
        <w:r w:rsidDel="00000000" w:rsidR="00000000" w:rsidRPr="00000000">
          <w:rPr>
            <w:rFonts w:ascii="Google Sans" w:cs="Google Sans" w:eastAsia="Google Sans" w:hAnsi="Google Sans"/>
            <w:color w:val="0000ee"/>
            <w:sz w:val="24"/>
            <w:szCs w:val="24"/>
            <w:u w:val="single"/>
            <w:rtl w:val="0"/>
          </w:rPr>
          <w:t xml:space="preserve">https://chenjiazizhong.com/2025/03/26/ai-powered-stock-forecasting-model-in-vietnam/</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Prediction: The Application of Text-Mining in Vietnam - VNU Journal of, accessed March 11, 2026, </w:t>
      </w:r>
      <w:hyperlink r:id="rId19">
        <w:r w:rsidDel="00000000" w:rsidR="00000000" w:rsidRPr="00000000">
          <w:rPr>
            <w:rFonts w:ascii="Google Sans" w:cs="Google Sans" w:eastAsia="Google Sans" w:hAnsi="Google Sans"/>
            <w:color w:val="0000ee"/>
            <w:sz w:val="24"/>
            <w:szCs w:val="24"/>
            <w:u w:val="single"/>
            <w:rtl w:val="0"/>
          </w:rPr>
          <w:t xml:space="preserve">https://js.vnu.edu.vn/EAB/article/view/4715/4072</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Profitability of Ichimoku-Based Trading Rule in Vietnam Stock Market in the Context of the COVID-19 Outbreak - PMC, accessed March 11,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https://pmc.ncbi.nlm.nih.gov/articles/PMC9558011/</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Ichimoku Trading Guide - How To Use The Ichimoku Indicator - - Tradeciety, accessed March 11, 2026, </w:t>
      </w:r>
      <w:hyperlink r:id="rId21">
        <w:r w:rsidDel="00000000" w:rsidR="00000000" w:rsidRPr="00000000">
          <w:rPr>
            <w:rFonts w:ascii="Google Sans" w:cs="Google Sans" w:eastAsia="Google Sans" w:hAnsi="Google Sans"/>
            <w:color w:val="0000ee"/>
            <w:sz w:val="24"/>
            <w:szCs w:val="24"/>
            <w:u w:val="single"/>
            <w:rtl w:val="0"/>
          </w:rPr>
          <w:t xml:space="preserve">https://tradeciety.com/the-complete-ichimoku-trading-guide-how-to-use-the-ichimoku-indicator</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vnstock/CHANGELOG.md at main · thinh-vu/vnstock · GitHub, accessed March 11, 2026, </w:t>
      </w:r>
      <w:hyperlink r:id="rId22">
        <w:r w:rsidDel="00000000" w:rsidR="00000000" w:rsidRPr="00000000">
          <w:rPr>
            <w:rFonts w:ascii="Google Sans" w:cs="Google Sans" w:eastAsia="Google Sans" w:hAnsi="Google Sans"/>
            <w:color w:val="0000ee"/>
            <w:sz w:val="24"/>
            <w:szCs w:val="24"/>
            <w:u w:val="single"/>
            <w:rtl w:val="0"/>
          </w:rPr>
          <w:t xml:space="preserve">https://github.com/thinh-vu/vnstock/blob/main/CHANGELOG.md</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guides - PHS.vn, accessed March 11, 2026, </w:t>
      </w:r>
      <w:hyperlink r:id="rId23">
        <w:r w:rsidDel="00000000" w:rsidR="00000000" w:rsidRPr="00000000">
          <w:rPr>
            <w:rFonts w:ascii="Google Sans" w:cs="Google Sans" w:eastAsia="Google Sans" w:hAnsi="Google Sans"/>
            <w:color w:val="0000ee"/>
            <w:sz w:val="24"/>
            <w:szCs w:val="24"/>
            <w:u w:val="single"/>
            <w:rtl w:val="0"/>
          </w:rPr>
          <w:t xml:space="preserve">https://www.phs.vn/en/products/trading-guides/62</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Accuracy Test of Technical Analysis Using Ichimoku Kinko Hyo, Moving Average Convergence Divergence, and Relative Strength Index on Stock Price of Companies Listed in The Infobank15 Index | RSF Conference Series - Proceeding RSF Press, accessed March 11, 2026, </w:t>
      </w:r>
      <w:hyperlink r:id="rId24">
        <w:r w:rsidDel="00000000" w:rsidR="00000000" w:rsidRPr="00000000">
          <w:rPr>
            <w:rFonts w:ascii="Google Sans" w:cs="Google Sans" w:eastAsia="Google Sans" w:hAnsi="Google Sans"/>
            <w:color w:val="0000ee"/>
            <w:sz w:val="24"/>
            <w:szCs w:val="24"/>
            <w:u w:val="single"/>
            <w:rtl w:val="0"/>
          </w:rPr>
          <w:t xml:space="preserve">https://proceeding.researchsynergypress.com/index.php/rsfconferenceseries1/article/view/953</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Split-Adjusted vs Raw Stock Prices: Complete Guide, accessed March 11, 2026, </w:t>
      </w:r>
      <w:hyperlink r:id="rId25">
        <w:r w:rsidDel="00000000" w:rsidR="00000000" w:rsidRPr="00000000">
          <w:rPr>
            <w:rFonts w:ascii="Google Sans" w:cs="Google Sans" w:eastAsia="Google Sans" w:hAnsi="Google Sans"/>
            <w:color w:val="0000ee"/>
            <w:sz w:val="24"/>
            <w:szCs w:val="24"/>
            <w:u w:val="single"/>
            <w:rtl w:val="0"/>
          </w:rPr>
          <w:t xml:space="preserve">https://www.stocktitan.net/articles/split-adjusted-price-vs-raw-price</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Adjusted Closing Price: A Trader's Guide (2025) - The Trading Analyst, accessed March 11, 2026, </w:t>
      </w:r>
      <w:hyperlink r:id="rId26">
        <w:r w:rsidDel="00000000" w:rsidR="00000000" w:rsidRPr="00000000">
          <w:rPr>
            <w:rFonts w:ascii="Google Sans" w:cs="Google Sans" w:eastAsia="Google Sans" w:hAnsi="Google Sans"/>
            <w:color w:val="0000ee"/>
            <w:sz w:val="24"/>
            <w:szCs w:val="24"/>
            <w:u w:val="single"/>
            <w:rtl w:val="0"/>
          </w:rPr>
          <w:t xml:space="preserve">https://thetradinganalyst.com/adjusted-closing-price/</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 Data Adjustments | Support Center - StockCharts.com, accessed March 11, 2026, </w:t>
      </w:r>
      <w:hyperlink r:id="rId27">
        <w:r w:rsidDel="00000000" w:rsidR="00000000" w:rsidRPr="00000000">
          <w:rPr>
            <w:rFonts w:ascii="Google Sans" w:cs="Google Sans" w:eastAsia="Google Sans" w:hAnsi="Google Sans"/>
            <w:color w:val="0000ee"/>
            <w:sz w:val="24"/>
            <w:szCs w:val="24"/>
            <w:u w:val="single"/>
            <w:rtl w:val="0"/>
          </w:rPr>
          <w:t xml:space="preserve">https://help.stockcharts.com/data-and-ticker-symbols/data-availability/price-data-adjustments</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Stock Price: Detailed How-To | RoboMarkets Blog, accessed March 11, 2026, </w:t>
      </w:r>
      <w:hyperlink r:id="rId28">
        <w:r w:rsidDel="00000000" w:rsidR="00000000" w:rsidRPr="00000000">
          <w:rPr>
            <w:rFonts w:ascii="Google Sans" w:cs="Google Sans" w:eastAsia="Google Sans" w:hAnsi="Google Sans"/>
            <w:color w:val="0000ee"/>
            <w:sz w:val="24"/>
            <w:szCs w:val="24"/>
            <w:u w:val="single"/>
            <w:rtl w:val="0"/>
          </w:rPr>
          <w:t xml:space="preserve">https://www.robomarkets.com.cy/blog/education/calculating-stock-price-detailed-how-to/</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thinh-vu/vnstock: A beginner-friendly yet powerful Python toolkit for financial analysis and automation — built to make modern investing accessible to everyone, accessed March 11, 2026, </w:t>
      </w:r>
      <w:hyperlink r:id="rId29">
        <w:r w:rsidDel="00000000" w:rsidR="00000000" w:rsidRPr="00000000">
          <w:rPr>
            <w:rFonts w:ascii="Google Sans" w:cs="Google Sans" w:eastAsia="Google Sans" w:hAnsi="Google Sans"/>
            <w:color w:val="0000ee"/>
            <w:sz w:val="24"/>
            <w:szCs w:val="24"/>
            <w:u w:val="single"/>
            <w:rtl w:val="0"/>
          </w:rPr>
          <w:t xml:space="preserve">https://github.com/thinh-vu/vnstock</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gahoccode/vntickers: Python package for retrieving stock closing price data in Vietnam curated from multiple sources - GitHub, accessed March 11, 2026, </w:t>
      </w:r>
      <w:hyperlink r:id="rId30">
        <w:r w:rsidDel="00000000" w:rsidR="00000000" w:rsidRPr="00000000">
          <w:rPr>
            <w:rFonts w:ascii="Google Sans" w:cs="Google Sans" w:eastAsia="Google Sans" w:hAnsi="Google Sans"/>
            <w:color w:val="0000ee"/>
            <w:sz w:val="24"/>
            <w:szCs w:val="24"/>
            <w:u w:val="single"/>
            <w:rtl w:val="0"/>
          </w:rPr>
          <w:t xml:space="preserve">https://github.com/gahoccode/vntickers</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Legal Framework on Personal Data Protection in Vietnam - Chambers and Partners, accessed March 11, 2026, </w:t>
      </w:r>
      <w:hyperlink r:id="rId31">
        <w:r w:rsidDel="00000000" w:rsidR="00000000" w:rsidRPr="00000000">
          <w:rPr>
            <w:rFonts w:ascii="Google Sans" w:cs="Google Sans" w:eastAsia="Google Sans" w:hAnsi="Google Sans"/>
            <w:color w:val="0000ee"/>
            <w:sz w:val="24"/>
            <w:szCs w:val="24"/>
            <w:u w:val="single"/>
            <w:rtl w:val="0"/>
          </w:rPr>
          <w:t xml:space="preserve">https://chambers.com/articles/new-legal-framework-on-personal-data-protection-in-vietnam</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Cybersecurity Rules: A Compliance Roadmap for Businesses, accessed March 11, 2026, </w:t>
      </w:r>
      <w:hyperlink r:id="rId32">
        <w:r w:rsidDel="00000000" w:rsidR="00000000" w:rsidRPr="00000000">
          <w:rPr>
            <w:rFonts w:ascii="Google Sans" w:cs="Google Sans" w:eastAsia="Google Sans" w:hAnsi="Google Sans"/>
            <w:color w:val="0000ee"/>
            <w:sz w:val="24"/>
            <w:szCs w:val="24"/>
            <w:u w:val="single"/>
            <w:rtl w:val="0"/>
          </w:rPr>
          <w:t xml:space="preserve">https://www.vietnam-briefing.com/news/vietnams-cybersecurity-and-data-protection-rules-a-compliance-roadmap-for-businesses.html/</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Aligning Business Practices For Compliance With Vietnam's New Personal Data Protection Regulations - RUSSIN &amp; VECCHI, accessed March 11, 2026, </w:t>
      </w:r>
      <w:hyperlink r:id="rId33">
        <w:r w:rsidDel="00000000" w:rsidR="00000000" w:rsidRPr="00000000">
          <w:rPr>
            <w:rFonts w:ascii="Google Sans" w:cs="Google Sans" w:eastAsia="Google Sans" w:hAnsi="Google Sans"/>
            <w:color w:val="0000ee"/>
            <w:sz w:val="24"/>
            <w:szCs w:val="24"/>
            <w:u w:val="single"/>
            <w:rtl w:val="0"/>
          </w:rPr>
          <w:t xml:space="preserve">https://www.russinvecchi.com.vn/publication/aligning-business-practices-for-compliance-with-vietnams-new-personal-data-protection-regulations/</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Personal Data Protection: Key Requirements under Decree 356, accessed March 11, 2026, </w:t>
      </w:r>
      <w:hyperlink r:id="rId34">
        <w:r w:rsidDel="00000000" w:rsidR="00000000" w:rsidRPr="00000000">
          <w:rPr>
            <w:rFonts w:ascii="Google Sans" w:cs="Google Sans" w:eastAsia="Google Sans" w:hAnsi="Google Sans"/>
            <w:color w:val="0000ee"/>
            <w:sz w:val="24"/>
            <w:szCs w:val="24"/>
            <w:u w:val="single"/>
            <w:rtl w:val="0"/>
          </w:rPr>
          <w:t xml:space="preserve">https://www.china-briefing.com/china-outbound-news/vietnam-personal-data-protection-regulation-decree-356</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Protected Vietnam - Linklaters, accessed March 11, 2026, </w:t>
      </w:r>
      <w:hyperlink r:id="rId35">
        <w:r w:rsidDel="00000000" w:rsidR="00000000" w:rsidRPr="00000000">
          <w:rPr>
            <w:rFonts w:ascii="Google Sans" w:cs="Google Sans" w:eastAsia="Google Sans" w:hAnsi="Google Sans"/>
            <w:color w:val="0000ee"/>
            <w:sz w:val="24"/>
            <w:szCs w:val="24"/>
            <w:u w:val="single"/>
            <w:rtl w:val="0"/>
          </w:rPr>
          <w:t xml:space="preserve">https://www.linklaters.com/en/insights/data-protected/data-protected---vietnam</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Decree Provides Guidance for Vietnam's Personal Data Protection Law - Tilleke &amp; Gibbins, accessed March 11, 2026, </w:t>
      </w:r>
      <w:hyperlink r:id="rId36">
        <w:r w:rsidDel="00000000" w:rsidR="00000000" w:rsidRPr="00000000">
          <w:rPr>
            <w:rFonts w:ascii="Google Sans" w:cs="Google Sans" w:eastAsia="Google Sans" w:hAnsi="Google Sans"/>
            <w:color w:val="0000ee"/>
            <w:sz w:val="24"/>
            <w:szCs w:val="24"/>
            <w:u w:val="single"/>
            <w:rtl w:val="0"/>
          </w:rPr>
          <w:t xml:space="preserve">https://www.tilleke.com/insights/new-decree-provides-guidance-for-vietnams-personal-data-protection-law/72/</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Insights into Vietnam's Personal Data Protection Decree, accessed March 11, 2026, </w:t>
      </w:r>
      <w:hyperlink r:id="rId37">
        <w:r w:rsidDel="00000000" w:rsidR="00000000" w:rsidRPr="00000000">
          <w:rPr>
            <w:rFonts w:ascii="Google Sans" w:cs="Google Sans" w:eastAsia="Google Sans" w:hAnsi="Google Sans"/>
            <w:color w:val="0000ee"/>
            <w:sz w:val="24"/>
            <w:szCs w:val="24"/>
            <w:u w:val="single"/>
            <w:rtl w:val="0"/>
          </w:rPr>
          <w:t xml:space="preserve">https://vietnam.incorp.asia/personal-data-protection-vietnam-guide/</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Begins Accepting License Applications for Crypto Asset Trading Platforms - Tilleke &amp; Gibbins, accessed March 11, 2026, </w:t>
      </w:r>
      <w:hyperlink r:id="rId38">
        <w:r w:rsidDel="00000000" w:rsidR="00000000" w:rsidRPr="00000000">
          <w:rPr>
            <w:rFonts w:ascii="Google Sans" w:cs="Google Sans" w:eastAsia="Google Sans" w:hAnsi="Google Sans"/>
            <w:color w:val="0000ee"/>
            <w:sz w:val="24"/>
            <w:szCs w:val="24"/>
            <w:u w:val="single"/>
            <w:rtl w:val="0"/>
          </w:rPr>
          <w:t xml:space="preserve">https://www.tilleke.com/insights/vietnam-begins-accepting-license-applications-for-crypto-asset-trading-platforms/41/</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opens licensing window for digital asset trading platforms - TradingView, accessed March 11, 2026, </w:t>
      </w:r>
      <w:hyperlink r:id="rId39">
        <w:r w:rsidDel="00000000" w:rsidR="00000000" w:rsidRPr="00000000">
          <w:rPr>
            <w:rFonts w:ascii="Google Sans" w:cs="Google Sans" w:eastAsia="Google Sans" w:hAnsi="Google Sans"/>
            <w:color w:val="0000ee"/>
            <w:sz w:val="24"/>
            <w:szCs w:val="24"/>
            <w:u w:val="single"/>
            <w:rtl w:val="0"/>
          </w:rPr>
          <w:t xml:space="preserve">https://www.tradingview.com/news/cointelegraph:001209957094b:0-vietnam-opens-licensing-window-for-digital-asset-trading-platforms/</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establishes management board for crypto asset trading market, accessed March 11, 2026, </w:t>
      </w:r>
      <w:hyperlink r:id="rId40">
        <w:r w:rsidDel="00000000" w:rsidR="00000000" w:rsidRPr="00000000">
          <w:rPr>
            <w:rFonts w:ascii="Google Sans" w:cs="Google Sans" w:eastAsia="Google Sans" w:hAnsi="Google Sans"/>
            <w:color w:val="0000ee"/>
            <w:sz w:val="24"/>
            <w:szCs w:val="24"/>
            <w:u w:val="single"/>
            <w:rtl w:val="0"/>
          </w:rPr>
          <w:t xml:space="preserve">https://vir.com.vn/vietnam-establishes-management-board-for-crypto-asset-trading-market-142712.html</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opens crypto exchange licensing with nearly $400 million capital barrier to entry, accessed March 11, 2026, </w:t>
      </w:r>
      <w:hyperlink r:id="rId41">
        <w:r w:rsidDel="00000000" w:rsidR="00000000" w:rsidRPr="00000000">
          <w:rPr>
            <w:rFonts w:ascii="Google Sans" w:cs="Google Sans" w:eastAsia="Google Sans" w:hAnsi="Google Sans"/>
            <w:color w:val="0000ee"/>
            <w:sz w:val="24"/>
            <w:szCs w:val="24"/>
            <w:u w:val="single"/>
            <w:rtl w:val="0"/>
          </w:rPr>
          <w:t xml:space="preserve">https://www.theblock.co/post/386543/vietnam-opens-crypto-exchange-licensing</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First Crypto Regulation: Inside the 2026 Licensing Framework, accessed March 11, 2026, </w:t>
      </w:r>
      <w:hyperlink r:id="rId42">
        <w:r w:rsidDel="00000000" w:rsidR="00000000" w:rsidRPr="00000000">
          <w:rPr>
            <w:rFonts w:ascii="Google Sans" w:cs="Google Sans" w:eastAsia="Google Sans" w:hAnsi="Google Sans"/>
            <w:color w:val="0000ee"/>
            <w:sz w:val="24"/>
            <w:szCs w:val="24"/>
            <w:u w:val="single"/>
            <w:rtl w:val="0"/>
          </w:rPr>
          <w:t xml:space="preserve">https://www.cryptoverselawyers.io/vietnam-first-crypto-regulation-licensing/</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fees in the securities sector at the Vietnam Exchange, accessed March 11, 2026, </w:t>
      </w:r>
      <w:hyperlink r:id="rId43">
        <w:r w:rsidDel="00000000" w:rsidR="00000000" w:rsidRPr="00000000">
          <w:rPr>
            <w:rFonts w:ascii="Google Sans" w:cs="Google Sans" w:eastAsia="Google Sans" w:hAnsi="Google Sans"/>
            <w:color w:val="0000ee"/>
            <w:sz w:val="24"/>
            <w:szCs w:val="24"/>
            <w:u w:val="single"/>
            <w:rtl w:val="0"/>
          </w:rPr>
          <w:t xml:space="preserve">https://english.luatvietnam.vn/legal-updates/from-april-29-2025-service-fees-in-the-securities-sector-at-the-vietnam-stock-exchange-892-101999-article.html</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Short-term traders highlight risk from securities tax change - Vietnam Investment Review, accessed March 11, 2026, </w:t>
      </w:r>
      <w:hyperlink r:id="rId44">
        <w:r w:rsidDel="00000000" w:rsidR="00000000" w:rsidRPr="00000000">
          <w:rPr>
            <w:rFonts w:ascii="Google Sans" w:cs="Google Sans" w:eastAsia="Google Sans" w:hAnsi="Google Sans"/>
            <w:color w:val="0000ee"/>
            <w:sz w:val="24"/>
            <w:szCs w:val="24"/>
            <w:u w:val="single"/>
            <w:rtl w:val="0"/>
          </w:rPr>
          <w:t xml:space="preserve">https://vir.com.vn/short-term-traders-highlight-risk-from-securities-tax-change-134984.html</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Quantitative Approaches for Analyzing the Potential Effectiveness of Vietnam's Emissions Trading System: A Systematic Review - MDPI, accessed March 11, 2026, </w:t>
      </w:r>
      <w:hyperlink r:id="rId45">
        <w:r w:rsidDel="00000000" w:rsidR="00000000" w:rsidRPr="00000000">
          <w:rPr>
            <w:rFonts w:ascii="Google Sans" w:cs="Google Sans" w:eastAsia="Google Sans" w:hAnsi="Google Sans"/>
            <w:color w:val="0000ee"/>
            <w:sz w:val="24"/>
            <w:szCs w:val="24"/>
            <w:u w:val="single"/>
            <w:rtl w:val="0"/>
          </w:rPr>
          <w:t xml:space="preserve">https://www.mdpi.com/2071-1050/16/13/5504</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Tax and Accounting Updates for Businesses in 2026, accessed March 11, 2026, </w:t>
      </w:r>
      <w:hyperlink r:id="rId46">
        <w:r w:rsidDel="00000000" w:rsidR="00000000" w:rsidRPr="00000000">
          <w:rPr>
            <w:rFonts w:ascii="Google Sans" w:cs="Google Sans" w:eastAsia="Google Sans" w:hAnsi="Google Sans"/>
            <w:color w:val="0000ee"/>
            <w:sz w:val="24"/>
            <w:szCs w:val="24"/>
            <w:u w:val="single"/>
            <w:rtl w:val="0"/>
          </w:rPr>
          <w:t xml:space="preserve">https://www.vietnam-briefing.com/news/vietnams-tax-and-accounting-updates-for-businesses-in-2026.html/</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 31 DECEMBER 2026, ALL LISTED AND UPCOM STOCKS ON HNX MUST BE TRANSFERRED TO HOSE - ATA Legal Services, accessed March 11, 2026, </w:t>
      </w:r>
      <w:hyperlink r:id="rId47">
        <w:r w:rsidDel="00000000" w:rsidR="00000000" w:rsidRPr="00000000">
          <w:rPr>
            <w:rFonts w:ascii="Google Sans" w:cs="Google Sans" w:eastAsia="Google Sans" w:hAnsi="Google Sans"/>
            <w:color w:val="0000ee"/>
            <w:sz w:val="24"/>
            <w:szCs w:val="24"/>
            <w:u w:val="single"/>
            <w:rtl w:val="0"/>
          </w:rPr>
          <w:t xml:space="preserve">https://ata-legal.com/by-31-december-2026-all-listed-and-upcom-stocks-on-hnx-must-be-transferred-to-hose</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lunar new year holiday schedule announcement - Vina Nha Trang, accessed March 11, 2026, </w:t>
      </w:r>
      <w:hyperlink r:id="rId48">
        <w:r w:rsidDel="00000000" w:rsidR="00000000" w:rsidRPr="00000000">
          <w:rPr>
            <w:rFonts w:ascii="Google Sans" w:cs="Google Sans" w:eastAsia="Google Sans" w:hAnsi="Google Sans"/>
            <w:color w:val="0000ee"/>
            <w:sz w:val="24"/>
            <w:szCs w:val="24"/>
            <w:u w:val="single"/>
            <w:rtl w:val="0"/>
          </w:rPr>
          <w:t xml:space="preserve">https://vinanhatrang.com/2026-lunar-new-year-holiday-schedule-announcement/</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HNX Market Holidays - CalendarLabs, accessed March 11, 2026, </w:t>
      </w:r>
      <w:hyperlink r:id="rId49">
        <w:r w:rsidDel="00000000" w:rsidR="00000000" w:rsidRPr="00000000">
          <w:rPr>
            <w:rFonts w:ascii="Google Sans" w:cs="Google Sans" w:eastAsia="Google Sans" w:hAnsi="Google Sans"/>
            <w:color w:val="0000ee"/>
            <w:sz w:val="24"/>
            <w:szCs w:val="24"/>
            <w:u w:val="single"/>
            <w:rtl w:val="0"/>
          </w:rPr>
          <w:t xml:space="preserve">https://www.calendarlabs.com/hnx-market-holidays-2026/</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timetable of stock trading? - VPS, accessed March 11, 2026, </w:t>
      </w:r>
      <w:hyperlink r:id="rId50">
        <w:r w:rsidDel="00000000" w:rsidR="00000000" w:rsidRPr="00000000">
          <w:rPr>
            <w:rFonts w:ascii="Google Sans" w:cs="Google Sans" w:eastAsia="Google Sans" w:hAnsi="Google Sans"/>
            <w:color w:val="0000ee"/>
            <w:sz w:val="24"/>
            <w:szCs w:val="24"/>
            <w:u w:val="single"/>
            <w:rtl w:val="0"/>
          </w:rPr>
          <w:t xml:space="preserve">https://www.vps.com.vn/en/retail-sales/support/frequently-asked-questions/what-is-the-timetable-of-stock-trading-</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UPCOM trading regulations - VIX SECURITIES JOINT STOCK COMPANY, accessed March 11, 2026, </w:t>
      </w:r>
      <w:hyperlink r:id="rId51">
        <w:r w:rsidDel="00000000" w:rsidR="00000000" w:rsidRPr="00000000">
          <w:rPr>
            <w:rFonts w:ascii="Google Sans" w:cs="Google Sans" w:eastAsia="Google Sans" w:hAnsi="Google Sans"/>
            <w:color w:val="0000ee"/>
            <w:sz w:val="24"/>
            <w:szCs w:val="24"/>
            <w:u w:val="single"/>
            <w:rtl w:val="0"/>
          </w:rPr>
          <w:t xml:space="preserve">https://vixs.vn/en/support/upcom-trading-regulations</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Backtesting Mistakes in Trading - For Traders, accessed March 11, 2026, </w:t>
      </w:r>
      <w:hyperlink r:id="rId52">
        <w:r w:rsidDel="00000000" w:rsidR="00000000" w:rsidRPr="00000000">
          <w:rPr>
            <w:rFonts w:ascii="Google Sans" w:cs="Google Sans" w:eastAsia="Google Sans" w:hAnsi="Google Sans"/>
            <w:color w:val="0000ee"/>
            <w:sz w:val="24"/>
            <w:szCs w:val="24"/>
            <w:u w:val="single"/>
            <w:rtl w:val="0"/>
          </w:rPr>
          <w:t xml:space="preserve">https://www.fortraders.com/blog/10-backtesting-mistakes-in-trading</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Avoid Common Mistakes in Backtesting? - Quantra by QuantInsti, accessed March 11, 2026, </w:t>
      </w:r>
      <w:hyperlink r:id="rId53">
        <w:r w:rsidDel="00000000" w:rsidR="00000000" w:rsidRPr="00000000">
          <w:rPr>
            <w:rFonts w:ascii="Google Sans" w:cs="Google Sans" w:eastAsia="Google Sans" w:hAnsi="Google Sans"/>
            <w:color w:val="0000ee"/>
            <w:sz w:val="24"/>
            <w:szCs w:val="24"/>
            <w:u w:val="single"/>
            <w:rtl w:val="0"/>
          </w:rPr>
          <w:t xml:space="preserve">https://quantra.quantinsti.com/glossary/How-to-Avoid-Common-Mistakes-in-Backtesting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vir.com.vn/vietnam-establishes-management-board-for-crypto-asset-trading-market-142712.html" TargetMode="External"/><Relationship Id="rId42" Type="http://schemas.openxmlformats.org/officeDocument/2006/relationships/hyperlink" Target="https://www.cryptoverselawyers.io/vietnam-first-crypto-regulation-licensing/" TargetMode="External"/><Relationship Id="rId41" Type="http://schemas.openxmlformats.org/officeDocument/2006/relationships/hyperlink" Target="https://www.theblock.co/post/386543/vietnam-opens-crypto-exchange-licensing" TargetMode="External"/><Relationship Id="rId44" Type="http://schemas.openxmlformats.org/officeDocument/2006/relationships/hyperlink" Target="https://vir.com.vn/short-term-traders-highlight-risk-from-securities-tax-change-134984.html" TargetMode="External"/><Relationship Id="rId43" Type="http://schemas.openxmlformats.org/officeDocument/2006/relationships/hyperlink" Target="https://english.luatvietnam.vn/legal-updates/from-april-29-2025-service-fees-in-the-securities-sector-at-the-vietnam-stock-exchange-892-101999-article.html" TargetMode="External"/><Relationship Id="rId46" Type="http://schemas.openxmlformats.org/officeDocument/2006/relationships/hyperlink" Target="https://www.vietnam-briefing.com/news/vietnams-tax-and-accounting-updates-for-businesses-in-2026.html/" TargetMode="External"/><Relationship Id="rId45" Type="http://schemas.openxmlformats.org/officeDocument/2006/relationships/hyperlink" Target="https://www.mdpi.com/2071-1050/16/13/55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vinanhatrang.com/2026-lunar-new-year-holiday-schedule-announcement/" TargetMode="External"/><Relationship Id="rId47" Type="http://schemas.openxmlformats.org/officeDocument/2006/relationships/hyperlink" Target="https://ata-legal.com/by-31-december-2026-all-listed-and-upcom-stocks-on-hnx-must-be-transferred-to-hose" TargetMode="External"/><Relationship Id="rId49" Type="http://schemas.openxmlformats.org/officeDocument/2006/relationships/hyperlink" Target="https://www.calendarlabs.com/hnx-market-holidays-2026/"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hyperlink" Target="https://chambers.com/articles/new-legal-framework-on-personal-data-protection-in-vietnam" TargetMode="External"/><Relationship Id="rId30" Type="http://schemas.openxmlformats.org/officeDocument/2006/relationships/hyperlink" Target="https://github.com/gahoccode/vntickers" TargetMode="External"/><Relationship Id="rId33" Type="http://schemas.openxmlformats.org/officeDocument/2006/relationships/hyperlink" Target="https://www.russinvecchi.com.vn/publication/aligning-business-practices-for-compliance-with-vietnams-new-personal-data-protection-regulations/" TargetMode="External"/><Relationship Id="rId32" Type="http://schemas.openxmlformats.org/officeDocument/2006/relationships/hyperlink" Target="https://www.vietnam-briefing.com/news/vietnams-cybersecurity-and-data-protection-rules-a-compliance-roadmap-for-businesses.html/" TargetMode="External"/><Relationship Id="rId35" Type="http://schemas.openxmlformats.org/officeDocument/2006/relationships/hyperlink" Target="https://www.linklaters.com/en/insights/data-protected/data-protected---vietnam" TargetMode="External"/><Relationship Id="rId34" Type="http://schemas.openxmlformats.org/officeDocument/2006/relationships/hyperlink" Target="https://www.china-briefing.com/china-outbound-news/vietnam-personal-data-protection-regulation-decree-356" TargetMode="External"/><Relationship Id="rId37" Type="http://schemas.openxmlformats.org/officeDocument/2006/relationships/hyperlink" Target="https://vietnam.incorp.asia/personal-data-protection-vietnam-guide/" TargetMode="External"/><Relationship Id="rId36" Type="http://schemas.openxmlformats.org/officeDocument/2006/relationships/hyperlink" Target="https://www.tilleke.com/insights/new-decree-provides-guidance-for-vietnams-personal-data-protection-law/72/" TargetMode="External"/><Relationship Id="rId39" Type="http://schemas.openxmlformats.org/officeDocument/2006/relationships/hyperlink" Target="https://www.tradingview.com/news/cointelegraph:001209957094b:0-vietnam-opens-licensing-window-for-digital-asset-trading-platforms/" TargetMode="External"/><Relationship Id="rId38" Type="http://schemas.openxmlformats.org/officeDocument/2006/relationships/hyperlink" Target="https://www.tilleke.com/insights/vietnam-begins-accepting-license-applications-for-crypto-asset-trading-platforms/41/" TargetMode="External"/><Relationship Id="rId20" Type="http://schemas.openxmlformats.org/officeDocument/2006/relationships/hyperlink" Target="https://pmc.ncbi.nlm.nih.gov/articles/PMC9558011/" TargetMode="External"/><Relationship Id="rId22" Type="http://schemas.openxmlformats.org/officeDocument/2006/relationships/hyperlink" Target="https://github.com/thinh-vu/vnstock/blob/main/CHANGELOG.md" TargetMode="External"/><Relationship Id="rId21" Type="http://schemas.openxmlformats.org/officeDocument/2006/relationships/hyperlink" Target="https://tradeciety.com/the-complete-ichimoku-trading-guide-how-to-use-the-ichimoku-indicator" TargetMode="External"/><Relationship Id="rId24" Type="http://schemas.openxmlformats.org/officeDocument/2006/relationships/hyperlink" Target="https://proceeding.researchsynergypress.com/index.php/rsfconferenceseries1/article/view/953" TargetMode="External"/><Relationship Id="rId23" Type="http://schemas.openxmlformats.org/officeDocument/2006/relationships/hyperlink" Target="https://www.phs.vn/en/products/trading-guides/62" TargetMode="External"/><Relationship Id="rId26" Type="http://schemas.openxmlformats.org/officeDocument/2006/relationships/hyperlink" Target="https://thetradinganalyst.com/adjusted-closing-price/" TargetMode="External"/><Relationship Id="rId25" Type="http://schemas.openxmlformats.org/officeDocument/2006/relationships/hyperlink" Target="https://www.stocktitan.net/articles/split-adjusted-price-vs-raw-price" TargetMode="External"/><Relationship Id="rId28" Type="http://schemas.openxmlformats.org/officeDocument/2006/relationships/hyperlink" Target="https://www.robomarkets.com.cy/blog/education/calculating-stock-price-detailed-how-to/" TargetMode="External"/><Relationship Id="rId27" Type="http://schemas.openxmlformats.org/officeDocument/2006/relationships/hyperlink" Target="https://help.stockcharts.com/data-and-ticker-symbols/data-availability/price-data-adjustments" TargetMode="External"/><Relationship Id="rId29" Type="http://schemas.openxmlformats.org/officeDocument/2006/relationships/hyperlink" Target="https://github.com/thinh-vu/vnstock" TargetMode="External"/><Relationship Id="rId51" Type="http://schemas.openxmlformats.org/officeDocument/2006/relationships/hyperlink" Target="https://vixs.vn/en/support/upcom-trading-regulations" TargetMode="External"/><Relationship Id="rId50" Type="http://schemas.openxmlformats.org/officeDocument/2006/relationships/hyperlink" Target="https://www.vps.com.vn/en/retail-sales/support/frequently-asked-questions/what-is-the-timetable-of-stock-trading-" TargetMode="External"/><Relationship Id="rId53" Type="http://schemas.openxmlformats.org/officeDocument/2006/relationships/hyperlink" Target="https://quantra.quantinsti.com/glossary/How-to-Avoid-Common-Mistakes-in-Backtesting" TargetMode="External"/><Relationship Id="rId52" Type="http://schemas.openxmlformats.org/officeDocument/2006/relationships/hyperlink" Target="https://www.fortraders.com/blog/10-backtesting-mistakes-in-trading" TargetMode="External"/><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yperlink" Target="https://www.vaneck.com/us/en/blogs/emerging-markets-equity/vietnams-market-reform-wave-a-market-at-a-turning-point/" TargetMode="External"/><Relationship Id="rId12" Type="http://schemas.openxmlformats.org/officeDocument/2006/relationships/hyperlink" Target="https://vir.com.vn/new-rules-ease-foreign-access-to-vietnam-equities-146204.html" TargetMode="External"/><Relationship Id="rId15" Type="http://schemas.openxmlformats.org/officeDocument/2006/relationships/hyperlink" Target="https://english.luatvietnam.vn/legal-updates/vietnam-approves-plan-to-upgrade-stock-market-status-892-104069-article.html" TargetMode="External"/><Relationship Id="rId14" Type="http://schemas.openxmlformats.org/officeDocument/2006/relationships/hyperlink" Target="https://www.morihamada.com/en/insights/newsletters/131901" TargetMode="External"/><Relationship Id="rId17" Type="http://schemas.openxmlformats.org/officeDocument/2006/relationships/hyperlink" Target="https://vietnamnews.vn/economy/1765532/policy-boost-paves-way-for-viet-nam-s-stock-market-upgrade.html" TargetMode="External"/><Relationship Id="rId16" Type="http://schemas.openxmlformats.org/officeDocument/2006/relationships/hyperlink" Target="https://www.vietcap.com.vn/api/cms-api/uploads/froala/files/20250429_eBook_KRX%20&amp;%20Changes%20in%20Trading%20Regulations_%20doc2904.pdf" TargetMode="External"/><Relationship Id="rId19" Type="http://schemas.openxmlformats.org/officeDocument/2006/relationships/hyperlink" Target="https://js.vnu.edu.vn/EAB/article/view/4715/4072" TargetMode="External"/><Relationship Id="rId18" Type="http://schemas.openxmlformats.org/officeDocument/2006/relationships/hyperlink" Target="https://chenjiazizhong.com/2025/03/26/ai-powered-stock-forecasting-model-in-vietn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