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b/>
          <w:color w:val="1E3A8A"/>
          <w:sz w:val="48"/>
        </w:rPr>
        <w:t>ANNUAL PERFORMANCE REPORT 2024</w:t>
      </w:r>
    </w:p>
    <w:p>
      <w:pPr>
        <w:spacing w:after="720"/>
        <w:jc w:val="center"/>
      </w:pPr>
      <w:r>
        <w:rPr>
          <w:rFonts w:ascii="Arial" w:hAnsi="Arial"/>
          <w:i/>
          <w:color w:val="0F766E"/>
          <w:sz w:val="28"/>
        </w:rPr>
        <w:t>Vertex Innovations Group — Comprehensive Strategic Review</w:t>
      </w:r>
    </w:p>
    <w:p>
      <w:pPr>
        <w:pStyle w:val="Heading1"/>
        <w:keepNext/>
        <w:spacing w:before="360" w:after="240"/>
      </w:pPr>
      <w:r>
        <w:rPr>
          <w:rFonts w:ascii="Arial" w:hAnsi="Arial"/>
          <w:color w:val="1E3A8A"/>
        </w:rPr>
        <w:t>Section 1: Executive Summary</w:t>
      </w:r>
    </w:p>
    <w:p>
      <w:pPr>
        <w:spacing w:after="240" w:line="276" w:lineRule="auto"/>
      </w:pPr>
      <w:r>
        <w:rPr>
          <w:rFonts w:ascii="Arial" w:hAnsi="Arial"/>
          <w:color w:val="2D3748"/>
          <w:sz w:val="22"/>
        </w:rPr>
        <w:t>During the 2024 fiscal cycle, Vertex Innovations Group reached major strategic and performance milestones. By prioritizing cloud-first architectures and enterprise workflow acceleration, our business achieved key targets despite volatile macroeconomic conditions. To build long-term value for stakeholders, we intentionally balanced heavy capital infrastructure spending with strict cost controls across our primary departments.</w:t>
      </w:r>
    </w:p>
    <w:p>
      <w:pPr>
        <w:spacing w:after="240" w:line="276" w:lineRule="auto"/>
      </w:pPr>
      <w:r>
        <w:rPr>
          <w:rFonts w:ascii="Arial" w:hAnsi="Arial"/>
          <w:color w:val="2D3748"/>
          <w:sz w:val="22"/>
        </w:rPr>
        <w:t>Our focus shifted toward regional operational security and automation optimization in the past year. We established cross-functional teams to integrate generative systems directly into our core product lifecycles. Consequently, initial deployment speeds improved by nearly thirty percent, paving a direct path toward market capitalization targets.</w:t>
      </w:r>
    </w:p>
    <w:p>
      <w:pPr>
        <w:pStyle w:val="Heading1"/>
        <w:keepNext/>
        <w:spacing w:before="360" w:after="240"/>
      </w:pPr>
      <w:r>
        <w:rPr>
          <w:rFonts w:ascii="Arial" w:hAnsi="Arial"/>
          <w:color w:val="1E3A8A"/>
        </w:rPr>
        <w:t>Section 2: Regional Operational Breakdown</w:t>
      </w:r>
    </w:p>
    <w:p>
      <w:pPr>
        <w:spacing w:after="240"/>
      </w:pPr>
      <w:r>
        <w:rPr>
          <w:rFonts w:ascii="Arial" w:hAnsi="Arial"/>
          <w:color w:val="2D3748"/>
          <w:sz w:val="22"/>
        </w:rPr>
        <w:t>Operational results varied by market segment, showcasing strong resilience overall:</w:t>
      </w:r>
    </w:p>
    <w:p>
      <w:pPr>
        <w:pStyle w:val="ListBullet"/>
        <w:spacing w:after="120"/>
      </w:pPr>
      <w:r>
        <w:rPr>
          <w:rFonts w:ascii="Arial" w:hAnsi="Arial"/>
          <w:b/>
          <w:color w:val="2D3748"/>
          <w:sz w:val="22"/>
        </w:rPr>
        <w:t>North America (NA):</w:t>
      </w:r>
      <w:r>
        <w:rPr>
          <w:rFonts w:ascii="Arial" w:hAnsi="Arial"/>
          <w:color w:val="2D3748"/>
          <w:sz w:val="22"/>
        </w:rPr>
        <w:t xml:space="preserve"> Advanced deployment models drove a 24% efficiency increase across major regional data hubs.</w:t>
      </w:r>
    </w:p>
    <w:p>
      <w:pPr>
        <w:pStyle w:val="ListBullet"/>
        <w:spacing w:after="120"/>
      </w:pPr>
      <w:r>
        <w:rPr>
          <w:rFonts w:ascii="Arial" w:hAnsi="Arial"/>
          <w:b/>
          <w:color w:val="2D3748"/>
          <w:sz w:val="22"/>
        </w:rPr>
        <w:t>EMEA Compliance Framework:</w:t>
      </w:r>
      <w:r>
        <w:rPr>
          <w:rFonts w:ascii="Arial" w:hAnsi="Arial"/>
          <w:color w:val="2D3748"/>
          <w:sz w:val="22"/>
        </w:rPr>
        <w:t xml:space="preserve"> We successfully adapted to modern data residency protocols without sacrificing cross-border performance matrix metrics.</w:t>
      </w:r>
    </w:p>
    <w:p>
      <w:pPr>
        <w:pStyle w:val="ListBullet"/>
        <w:spacing w:after="120"/>
      </w:pPr>
      <w:r>
        <w:rPr>
          <w:rFonts w:ascii="Arial" w:hAnsi="Arial"/>
          <w:b/>
          <w:color w:val="2D3748"/>
          <w:sz w:val="22"/>
        </w:rPr>
        <w:t>Emerging Markets (APAC/LATAM):</w:t>
      </w:r>
      <w:r>
        <w:rPr>
          <w:rFonts w:ascii="Arial" w:hAnsi="Arial"/>
          <w:color w:val="2D3748"/>
          <w:sz w:val="22"/>
        </w:rPr>
        <w:t xml:space="preserve"> Our customer footprint expanded rapidly, creating strong foundational growth for the coming operational cycles.</w:t>
      </w:r>
    </w:p>
    <w:p>
      <w:pPr>
        <w:pStyle w:val="Heading1"/>
        <w:keepNext/>
        <w:spacing w:before="360" w:after="240"/>
      </w:pPr>
      <w:r>
        <w:rPr>
          <w:rFonts w:ascii="Arial" w:hAnsi="Arial"/>
          <w:color w:val="1E3A8A"/>
        </w:rPr>
        <w:t>Section 3: Financial Synthesis &amp; Capital Allocation Matrix</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40" w:type="dxa"/>
              <w:bottom w:w="140" w:type="dxa"/>
              <w:left w:w="150" w:type="dxa"/>
              <w:right w:w="150" w:type="dxa"/>
            </w:tcMar>
            <w:shd w:val="clear" w:color="auto" w:fill="1E3A8A"/>
            <w:vAlign w:val="center"/>
          </w:tcPr>
          <w:p>
            <w:pPr>
              <w:jc w:val="left"/>
            </w:pPr>
            <w:r>
              <w:rPr>
                <w:rFonts w:ascii="Arial" w:hAnsi="Arial"/>
                <w:b/>
                <w:color w:val="FFFFFF"/>
                <w:sz w:val="20"/>
              </w:rPr>
              <w:t>Department Silo</w:t>
            </w:r>
          </w:p>
        </w:tc>
        <w:tc>
          <w:tcPr>
            <w:tcW w:type="dxa" w:w="2340"/>
            <w:tcMar>
              <w:top w:w="140" w:type="dxa"/>
              <w:bottom w:w="140" w:type="dxa"/>
              <w:left w:w="150" w:type="dxa"/>
              <w:right w:w="150" w:type="dxa"/>
            </w:tcMar>
            <w:shd w:val="clear" w:color="auto" w:fill="1E3A8A"/>
            <w:vAlign w:val="center"/>
          </w:tcPr>
          <w:p>
            <w:pPr>
              <w:jc w:val="center"/>
            </w:pPr>
            <w:r>
              <w:rPr>
                <w:rFonts w:ascii="Arial" w:hAnsi="Arial"/>
                <w:b/>
                <w:color w:val="FFFFFF"/>
                <w:sz w:val="20"/>
              </w:rPr>
              <w:t>Approved Budget ($)</w:t>
            </w:r>
          </w:p>
        </w:tc>
        <w:tc>
          <w:tcPr>
            <w:tcW w:type="dxa" w:w="2340"/>
            <w:tcMar>
              <w:top w:w="140" w:type="dxa"/>
              <w:bottom w:w="140" w:type="dxa"/>
              <w:left w:w="150" w:type="dxa"/>
              <w:right w:w="150" w:type="dxa"/>
            </w:tcMar>
            <w:shd w:val="clear" w:color="auto" w:fill="1E3A8A"/>
            <w:vAlign w:val="center"/>
          </w:tcPr>
          <w:p>
            <w:pPr>
              <w:jc w:val="center"/>
            </w:pPr>
            <w:r>
              <w:rPr>
                <w:rFonts w:ascii="Arial" w:hAnsi="Arial"/>
                <w:b/>
                <w:color w:val="FFFFFF"/>
                <w:sz w:val="20"/>
              </w:rPr>
              <w:t>Realized Expenses ($)</w:t>
            </w:r>
          </w:p>
        </w:tc>
        <w:tc>
          <w:tcPr>
            <w:tcW w:type="dxa" w:w="2340"/>
            <w:tcMar>
              <w:top w:w="140" w:type="dxa"/>
              <w:bottom w:w="140" w:type="dxa"/>
              <w:left w:w="150" w:type="dxa"/>
              <w:right w:w="150" w:type="dxa"/>
            </w:tcMar>
            <w:shd w:val="clear" w:color="auto" w:fill="1E3A8A"/>
            <w:vAlign w:val="center"/>
          </w:tcPr>
          <w:p>
            <w:pPr>
              <w:jc w:val="center"/>
            </w:pPr>
            <w:r>
              <w:rPr>
                <w:rFonts w:ascii="Arial" w:hAnsi="Arial"/>
                <w:b/>
                <w:color w:val="FFFFFF"/>
                <w:sz w:val="20"/>
              </w:rPr>
              <w:t>Net Variance ($)</w:t>
            </w:r>
          </w:p>
        </w:tc>
      </w:tr>
      <w:tr>
        <w:tc>
          <w:tcPr>
            <w:tcW w:type="dxa" w:w="2340"/>
            <w:tcMar>
              <w:top w:w="140" w:type="dxa"/>
              <w:bottom w:w="140" w:type="dxa"/>
              <w:left w:w="150" w:type="dxa"/>
              <w:right w:w="150" w:type="dxa"/>
            </w:tcMar>
          </w:tcPr>
          <w:p>
            <w:pPr>
              <w:jc w:val="left"/>
            </w:pPr>
            <w:r>
              <w:rPr>
                <w:rFonts w:ascii="Arial" w:hAnsi="Arial"/>
                <w:color w:val="2D3748"/>
                <w:sz w:val="20"/>
              </w:rPr>
              <w:t>Research &amp; Development</w:t>
            </w:r>
          </w:p>
        </w:tc>
        <w:tc>
          <w:tcPr>
            <w:tcW w:type="dxa" w:w="2340"/>
            <w:tcMar>
              <w:top w:w="140" w:type="dxa"/>
              <w:bottom w:w="140" w:type="dxa"/>
              <w:left w:w="150" w:type="dxa"/>
              <w:right w:w="150" w:type="dxa"/>
            </w:tcMar>
          </w:tcPr>
          <w:p>
            <w:pPr>
              <w:jc w:val="center"/>
            </w:pPr>
            <w:r>
              <w:rPr>
                <w:rFonts w:ascii="Arial" w:hAnsi="Arial"/>
                <w:color w:val="2D3748"/>
                <w:sz w:val="20"/>
              </w:rPr>
              <w:t>4,200,000</w:t>
            </w:r>
          </w:p>
        </w:tc>
        <w:tc>
          <w:tcPr>
            <w:tcW w:type="dxa" w:w="2340"/>
            <w:tcMar>
              <w:top w:w="140" w:type="dxa"/>
              <w:bottom w:w="140" w:type="dxa"/>
              <w:left w:w="150" w:type="dxa"/>
              <w:right w:w="150" w:type="dxa"/>
            </w:tcMar>
          </w:tcPr>
          <w:p>
            <w:pPr>
              <w:jc w:val="center"/>
            </w:pPr>
            <w:r>
              <w:rPr>
                <w:rFonts w:ascii="Arial" w:hAnsi="Arial"/>
                <w:color w:val="2D3748"/>
                <w:sz w:val="20"/>
              </w:rPr>
              <w:t>4,450,000</w:t>
            </w:r>
          </w:p>
        </w:tc>
        <w:tc>
          <w:tcPr>
            <w:tcW w:type="dxa" w:w="2340"/>
            <w:tcMar>
              <w:top w:w="140" w:type="dxa"/>
              <w:bottom w:w="140" w:type="dxa"/>
              <w:left w:w="150" w:type="dxa"/>
              <w:right w:w="150" w:type="dxa"/>
            </w:tcMar>
          </w:tcPr>
          <w:p>
            <w:pPr>
              <w:jc w:val="center"/>
            </w:pPr>
            <w:r>
              <w:rPr>
                <w:rFonts w:ascii="Arial" w:hAnsi="Arial"/>
                <w:color w:val="2D3748"/>
                <w:sz w:val="20"/>
              </w:rPr>
              <w:t>+250,000</w:t>
            </w:r>
          </w:p>
        </w:tc>
      </w:tr>
      <w:tr>
        <w:tc>
          <w:tcPr>
            <w:tcW w:type="dxa" w:w="2340"/>
            <w:tcMar>
              <w:top w:w="140" w:type="dxa"/>
              <w:bottom w:w="140" w:type="dxa"/>
              <w:left w:w="150" w:type="dxa"/>
              <w:right w:w="150" w:type="dxa"/>
            </w:tcMar>
            <w:shd w:val="clear" w:color="auto" w:fill="F3F4F6"/>
          </w:tcPr>
          <w:p>
            <w:pPr>
              <w:jc w:val="left"/>
            </w:pPr>
            <w:r>
              <w:rPr>
                <w:rFonts w:ascii="Arial" w:hAnsi="Arial"/>
                <w:color w:val="2D3748"/>
                <w:sz w:val="20"/>
              </w:rPr>
              <w:t>Cloud Infrastructure</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8,500,000</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8,120,000</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-380,000</w:t>
            </w:r>
          </w:p>
        </w:tc>
      </w:tr>
      <w:tr>
        <w:tc>
          <w:tcPr>
            <w:tcW w:type="dxa" w:w="2340"/>
            <w:tcMar>
              <w:top w:w="140" w:type="dxa"/>
              <w:bottom w:w="140" w:type="dxa"/>
              <w:left w:w="150" w:type="dxa"/>
              <w:right w:w="150" w:type="dxa"/>
            </w:tcMar>
          </w:tcPr>
          <w:p>
            <w:pPr>
              <w:jc w:val="left"/>
            </w:pPr>
            <w:r>
              <w:rPr>
                <w:rFonts w:ascii="Arial" w:hAnsi="Arial"/>
                <w:color w:val="2D3748"/>
                <w:sz w:val="20"/>
              </w:rPr>
              <w:t>Legal &amp; Compliance</w:t>
            </w:r>
          </w:p>
        </w:tc>
        <w:tc>
          <w:tcPr>
            <w:tcW w:type="dxa" w:w="2340"/>
            <w:tcMar>
              <w:top w:w="140" w:type="dxa"/>
              <w:bottom w:w="140" w:type="dxa"/>
              <w:left w:w="150" w:type="dxa"/>
              <w:right w:w="150" w:type="dxa"/>
            </w:tcMar>
          </w:tcPr>
          <w:p>
            <w:pPr>
              <w:jc w:val="center"/>
            </w:pPr>
            <w:r>
              <w:rPr>
                <w:rFonts w:ascii="Arial" w:hAnsi="Arial"/>
                <w:color w:val="2D3748"/>
                <w:sz w:val="20"/>
              </w:rPr>
              <w:t>1,800,000</w:t>
            </w:r>
          </w:p>
        </w:tc>
        <w:tc>
          <w:tcPr>
            <w:tcW w:type="dxa" w:w="2340"/>
            <w:tcMar>
              <w:top w:w="140" w:type="dxa"/>
              <w:bottom w:w="140" w:type="dxa"/>
              <w:left w:w="150" w:type="dxa"/>
              <w:right w:w="150" w:type="dxa"/>
            </w:tcMar>
          </w:tcPr>
          <w:p>
            <w:pPr>
              <w:jc w:val="center"/>
            </w:pPr>
            <w:r>
              <w:rPr>
                <w:rFonts w:ascii="Arial" w:hAnsi="Arial"/>
                <w:color w:val="2D3748"/>
                <w:sz w:val="20"/>
              </w:rPr>
              <w:t>1,950,000</w:t>
            </w:r>
          </w:p>
        </w:tc>
        <w:tc>
          <w:tcPr>
            <w:tcW w:type="dxa" w:w="2340"/>
            <w:tcMar>
              <w:top w:w="140" w:type="dxa"/>
              <w:bottom w:w="140" w:type="dxa"/>
              <w:left w:w="150" w:type="dxa"/>
              <w:right w:w="150" w:type="dxa"/>
            </w:tcMar>
          </w:tcPr>
          <w:p>
            <w:pPr>
              <w:jc w:val="center"/>
            </w:pPr>
            <w:r>
              <w:rPr>
                <w:rFonts w:ascii="Arial" w:hAnsi="Arial"/>
                <w:color w:val="2D3748"/>
                <w:sz w:val="20"/>
              </w:rPr>
              <w:t>+150,000</w:t>
            </w:r>
          </w:p>
        </w:tc>
      </w:tr>
      <w:tr>
        <w:tc>
          <w:tcPr>
            <w:tcW w:type="dxa" w:w="2340"/>
            <w:tcMar>
              <w:top w:w="140" w:type="dxa"/>
              <w:bottom w:w="140" w:type="dxa"/>
              <w:left w:w="150" w:type="dxa"/>
              <w:right w:w="150" w:type="dxa"/>
            </w:tcMar>
            <w:shd w:val="clear" w:color="auto" w:fill="F3F4F6"/>
          </w:tcPr>
          <w:p>
            <w:pPr>
              <w:jc w:val="left"/>
            </w:pPr>
            <w:r>
              <w:rPr>
                <w:rFonts w:ascii="Arial" w:hAnsi="Arial"/>
                <w:color w:val="2D3748"/>
                <w:sz w:val="20"/>
              </w:rPr>
              <w:t>Marketing &amp; Growth</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3,100,000</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2,980,000</w:t>
            </w:r>
          </w:p>
        </w:tc>
        <w:tc>
          <w:tcPr>
            <w:tcW w:type="dxa" w:w="2340"/>
            <w:tcMar>
              <w:top w:w="140" w:type="dxa"/>
              <w:bottom w:w="140" w:type="dxa"/>
              <w:left w:w="150" w:type="dxa"/>
              <w:right w:w="150" w:type="dxa"/>
            </w:tcMar>
            <w:shd w:val="clear" w:color="auto" w:fill="F3F4F6"/>
          </w:tcPr>
          <w:p>
            <w:pPr>
              <w:jc w:val="center"/>
            </w:pPr>
            <w:r>
              <w:rPr>
                <w:rFonts w:ascii="Arial" w:hAnsi="Arial"/>
                <w:color w:val="2D3748"/>
                <w:sz w:val="20"/>
              </w:rPr>
              <w:t>-120,000</w:t>
            </w:r>
          </w:p>
        </w:tc>
      </w:tr>
    </w:tbl>
    <w:p>
      <w:pPr>
        <w:spacing w:after="240"/>
      </w:pPr>
    </w:p>
    <w:p>
      <w:pPr>
        <w:pStyle w:val="Heading1"/>
        <w:keepNext/>
        <w:spacing w:before="360" w:after="240"/>
      </w:pPr>
      <w:r>
        <w:rPr>
          <w:rFonts w:ascii="Arial" w:hAnsi="Arial"/>
          <w:color w:val="1E3A8A"/>
        </w:rPr>
        <w:t>Section 4: Granular Transaction Ledgers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20" w:type="dxa"/>
              <w:right w:w="120" w:type="dxa"/>
            </w:tcMar>
            <w:shd w:val="clear" w:color="auto" w:fill="0F766E"/>
          </w:tcPr>
          <w:p>
            <w:pPr>
              <w:jc w:val="center"/>
            </w:pPr>
            <w:r>
              <w:rPr>
                <w:rFonts w:ascii="Arial" w:hAnsi="Arial"/>
                <w:b/>
                <w:color w:val="FFFFFF"/>
                <w:sz w:val="19"/>
              </w:rPr>
              <w:t>Tx Date</w:t>
            </w:r>
          </w:p>
        </w:tc>
        <w:tc>
          <w:tcPr>
            <w:tcW w:type="dxa" w:w="1872"/>
            <w:tcMar>
              <w:top w:w="120" w:type="dxa"/>
              <w:bottom w:w="120" w:type="dxa"/>
              <w:left w:w="120" w:type="dxa"/>
              <w:right w:w="120" w:type="dxa"/>
            </w:tcMar>
            <w:shd w:val="clear" w:color="auto" w:fill="0F766E"/>
          </w:tcPr>
          <w:p>
            <w:pPr>
              <w:jc w:val="left"/>
            </w:pPr>
            <w:r>
              <w:rPr>
                <w:rFonts w:ascii="Arial" w:hAnsi="Arial"/>
                <w:b/>
                <w:color w:val="FFFFFF"/>
                <w:sz w:val="19"/>
              </w:rPr>
              <w:t>Vendor Entity</w:t>
            </w:r>
          </w:p>
        </w:tc>
        <w:tc>
          <w:tcPr>
            <w:tcW w:type="dxa" w:w="1872"/>
            <w:tcMar>
              <w:top w:w="120" w:type="dxa"/>
              <w:bottom w:w="120" w:type="dxa"/>
              <w:left w:w="120" w:type="dxa"/>
              <w:right w:w="120" w:type="dxa"/>
            </w:tcMar>
            <w:shd w:val="clear" w:color="auto" w:fill="0F766E"/>
          </w:tcPr>
          <w:p>
            <w:pPr>
              <w:jc w:val="center"/>
            </w:pPr>
            <w:r>
              <w:rPr>
                <w:rFonts w:ascii="Arial" w:hAnsi="Arial"/>
                <w:b/>
                <w:color w:val="FFFFFF"/>
                <w:sz w:val="19"/>
              </w:rPr>
              <w:t>Reference Code</w:t>
            </w:r>
          </w:p>
        </w:tc>
        <w:tc>
          <w:tcPr>
            <w:tcW w:type="dxa" w:w="1872"/>
            <w:tcMar>
              <w:top w:w="120" w:type="dxa"/>
              <w:bottom w:w="120" w:type="dxa"/>
              <w:left w:w="120" w:type="dxa"/>
              <w:right w:w="120" w:type="dxa"/>
            </w:tcMar>
            <w:shd w:val="clear" w:color="auto" w:fill="0F766E"/>
          </w:tcPr>
          <w:p>
            <w:pPr>
              <w:jc w:val="center"/>
            </w:pPr>
            <w:r>
              <w:rPr>
                <w:rFonts w:ascii="Arial" w:hAnsi="Arial"/>
                <w:b/>
                <w:color w:val="FFFFFF"/>
                <w:sz w:val="19"/>
              </w:rPr>
              <w:t>Amount ($)</w:t>
            </w:r>
          </w:p>
        </w:tc>
        <w:tc>
          <w:tcPr>
            <w:tcW w:type="dxa" w:w="1872"/>
            <w:tcMar>
              <w:top w:w="120" w:type="dxa"/>
              <w:bottom w:w="120" w:type="dxa"/>
              <w:left w:w="120" w:type="dxa"/>
              <w:right w:w="120" w:type="dxa"/>
            </w:tcMar>
            <w:shd w:val="clear" w:color="auto" w:fill="0F766E"/>
          </w:tcPr>
          <w:p>
            <w:pPr>
              <w:jc w:val="left"/>
            </w:pPr>
            <w:r>
              <w:rPr>
                <w:rFonts w:ascii="Arial" w:hAnsi="Arial"/>
                <w:b/>
                <w:color w:val="FFFFFF"/>
                <w:sz w:val="19"/>
              </w:rPr>
              <w:t>Classification</w:t>
            </w:r>
          </w:p>
        </w:tc>
      </w:tr>
      <w:tr>
        <w:tc>
          <w:tcPr>
            <w:tcW w:type="dxa" w:w="1872"/>
            <w:tcMar>
              <w:top w:w="120" w:type="dxa"/>
              <w:bottom w:w="120" w:type="dxa"/>
              <w:left w:w="120" w:type="dxa"/>
              <w:right w:w="120" w:type="dxa"/>
            </w:tcMar>
          </w:tcPr>
          <w:p>
            <w:pPr>
              <w:jc w:val="center"/>
            </w:pPr>
            <w:r>
              <w:rPr>
                <w:rFonts w:ascii="Arial" w:hAnsi="Arial"/>
                <w:color w:val="2D3748"/>
                <w:sz w:val="19"/>
              </w:rPr>
              <w:t>12-Jan-2024</w:t>
            </w:r>
          </w:p>
        </w:tc>
        <w:tc>
          <w:tcPr>
            <w:tcW w:type="dxa" w:w="1872"/>
            <w:tcMar>
              <w:top w:w="120" w:type="dxa"/>
              <w:bottom w:w="120" w:type="dxa"/>
              <w:left w:w="120" w:type="dxa"/>
              <w:right w:w="120" w:type="dxa"/>
            </w:tcMar>
          </w:tcPr>
          <w:p>
            <w:pPr>
              <w:jc w:val="left"/>
            </w:pPr>
            <w:r>
              <w:rPr>
                <w:rFonts w:ascii="Arial" w:hAnsi="Arial"/>
                <w:color w:val="2D3748"/>
                <w:sz w:val="19"/>
              </w:rPr>
              <w:t>NexGen Cloud Systems</w:t>
            </w:r>
          </w:p>
        </w:tc>
        <w:tc>
          <w:tcPr>
            <w:tcW w:type="dxa" w:w="1872"/>
            <w:tcMar>
              <w:top w:w="120" w:type="dxa"/>
              <w:bottom w:w="120" w:type="dxa"/>
              <w:left w:w="120" w:type="dxa"/>
              <w:right w:w="120" w:type="dxa"/>
            </w:tcMar>
          </w:tcPr>
          <w:p>
            <w:pPr>
              <w:jc w:val="center"/>
            </w:pPr>
            <w:r>
              <w:rPr>
                <w:rFonts w:ascii="Arial" w:hAnsi="Arial"/>
                <w:color w:val="2D3748"/>
                <w:sz w:val="19"/>
              </w:rPr>
              <w:t>TXN-90812-A</w:t>
            </w:r>
          </w:p>
        </w:tc>
        <w:tc>
          <w:tcPr>
            <w:tcW w:type="dxa" w:w="1872"/>
            <w:tcMar>
              <w:top w:w="120" w:type="dxa"/>
              <w:bottom w:w="120" w:type="dxa"/>
              <w:left w:w="120" w:type="dxa"/>
              <w:right w:w="120" w:type="dxa"/>
            </w:tcMar>
          </w:tcPr>
          <w:p>
            <w:pPr>
              <w:jc w:val="center"/>
            </w:pPr>
            <w:r>
              <w:rPr>
                <w:rFonts w:ascii="Arial" w:hAnsi="Arial"/>
                <w:color w:val="2D3748"/>
                <w:sz w:val="19"/>
              </w:rPr>
              <w:t>145,000</w:t>
            </w:r>
          </w:p>
        </w:tc>
        <w:tc>
          <w:tcPr>
            <w:tcW w:type="dxa" w:w="1872"/>
            <w:tcMar>
              <w:top w:w="120" w:type="dxa"/>
              <w:bottom w:w="120" w:type="dxa"/>
              <w:left w:w="120" w:type="dxa"/>
              <w:right w:w="120" w:type="dxa"/>
            </w:tcMar>
          </w:tcPr>
          <w:p>
            <w:pPr>
              <w:jc w:val="left"/>
            </w:pPr>
            <w:r>
              <w:rPr>
                <w:rFonts w:ascii="Arial" w:hAnsi="Arial"/>
                <w:color w:val="2D3748"/>
                <w:sz w:val="19"/>
              </w:rPr>
              <w:t>Infrastructure Dev</w:t>
            </w:r>
          </w:p>
        </w:tc>
      </w:tr>
      <w:tr>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28-Jan-2024</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Strata Data Warehousing</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TXN-44102-B</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89,200</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Storage Pipeline</w:t>
            </w:r>
          </w:p>
        </w:tc>
      </w:tr>
      <w:tr>
        <w:tc>
          <w:tcPr>
            <w:tcW w:type="dxa" w:w="1872"/>
            <w:tcMar>
              <w:top w:w="120" w:type="dxa"/>
              <w:bottom w:w="120" w:type="dxa"/>
              <w:left w:w="120" w:type="dxa"/>
              <w:right w:w="120" w:type="dxa"/>
            </w:tcMar>
          </w:tcPr>
          <w:p>
            <w:pPr>
              <w:jc w:val="center"/>
            </w:pPr>
            <w:r>
              <w:rPr>
                <w:rFonts w:ascii="Arial" w:hAnsi="Arial"/>
                <w:color w:val="2D3748"/>
                <w:sz w:val="19"/>
              </w:rPr>
              <w:t>15-Feb-2024</w:t>
            </w:r>
          </w:p>
        </w:tc>
        <w:tc>
          <w:tcPr>
            <w:tcW w:type="dxa" w:w="1872"/>
            <w:tcMar>
              <w:top w:w="120" w:type="dxa"/>
              <w:bottom w:w="120" w:type="dxa"/>
              <w:left w:w="120" w:type="dxa"/>
              <w:right w:w="120" w:type="dxa"/>
            </w:tcMar>
          </w:tcPr>
          <w:p>
            <w:pPr>
              <w:jc w:val="left"/>
            </w:pPr>
            <w:r>
              <w:rPr>
                <w:rFonts w:ascii="Arial" w:hAnsi="Arial"/>
                <w:color w:val="2D3748"/>
                <w:sz w:val="19"/>
              </w:rPr>
              <w:t>Apex Cyber Security</w:t>
            </w:r>
          </w:p>
        </w:tc>
        <w:tc>
          <w:tcPr>
            <w:tcW w:type="dxa" w:w="1872"/>
            <w:tcMar>
              <w:top w:w="120" w:type="dxa"/>
              <w:bottom w:w="120" w:type="dxa"/>
              <w:left w:w="120" w:type="dxa"/>
              <w:right w:w="120" w:type="dxa"/>
            </w:tcMar>
          </w:tcPr>
          <w:p>
            <w:pPr>
              <w:jc w:val="center"/>
            </w:pPr>
            <w:r>
              <w:rPr>
                <w:rFonts w:ascii="Arial" w:hAnsi="Arial"/>
                <w:color w:val="2D3748"/>
                <w:sz w:val="19"/>
              </w:rPr>
              <w:t>TXN-11094-C</w:t>
            </w:r>
          </w:p>
        </w:tc>
        <w:tc>
          <w:tcPr>
            <w:tcW w:type="dxa" w:w="1872"/>
            <w:tcMar>
              <w:top w:w="120" w:type="dxa"/>
              <w:bottom w:w="120" w:type="dxa"/>
              <w:left w:w="120" w:type="dxa"/>
              <w:right w:w="120" w:type="dxa"/>
            </w:tcMar>
          </w:tcPr>
          <w:p>
            <w:pPr>
              <w:jc w:val="center"/>
            </w:pPr>
            <w:r>
              <w:rPr>
                <w:rFonts w:ascii="Arial" w:hAnsi="Arial"/>
                <w:color w:val="2D3748"/>
                <w:sz w:val="19"/>
              </w:rPr>
              <w:t>210,000</w:t>
            </w:r>
          </w:p>
        </w:tc>
        <w:tc>
          <w:tcPr>
            <w:tcW w:type="dxa" w:w="1872"/>
            <w:tcMar>
              <w:top w:w="120" w:type="dxa"/>
              <w:bottom w:w="120" w:type="dxa"/>
              <w:left w:w="120" w:type="dxa"/>
              <w:right w:w="120" w:type="dxa"/>
            </w:tcMar>
          </w:tcPr>
          <w:p>
            <w:pPr>
              <w:jc w:val="left"/>
            </w:pPr>
            <w:r>
              <w:rPr>
                <w:rFonts w:ascii="Arial" w:hAnsi="Arial"/>
                <w:color w:val="2D3748"/>
                <w:sz w:val="19"/>
              </w:rPr>
              <w:t>Risk Management</w:t>
            </w:r>
          </w:p>
        </w:tc>
      </w:tr>
      <w:tr>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03-Mar-2024</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OmniTech Hardware Corp</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TXN-88231-M</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320,500</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Hardware Refresh</w:t>
            </w:r>
          </w:p>
        </w:tc>
      </w:tr>
      <w:tr>
        <w:tc>
          <w:tcPr>
            <w:tcW w:type="dxa" w:w="1872"/>
            <w:tcMar>
              <w:top w:w="120" w:type="dxa"/>
              <w:bottom w:w="120" w:type="dxa"/>
              <w:left w:w="120" w:type="dxa"/>
              <w:right w:w="120" w:type="dxa"/>
            </w:tcMar>
          </w:tcPr>
          <w:p>
            <w:pPr>
              <w:jc w:val="center"/>
            </w:pPr>
            <w:r>
              <w:rPr>
                <w:rFonts w:ascii="Arial" w:hAnsi="Arial"/>
                <w:color w:val="2D3748"/>
                <w:sz w:val="19"/>
              </w:rPr>
              <w:t>19-Mar-2024</w:t>
            </w:r>
          </w:p>
        </w:tc>
        <w:tc>
          <w:tcPr>
            <w:tcW w:type="dxa" w:w="1872"/>
            <w:tcMar>
              <w:top w:w="120" w:type="dxa"/>
              <w:bottom w:w="120" w:type="dxa"/>
              <w:left w:w="120" w:type="dxa"/>
              <w:right w:w="120" w:type="dxa"/>
            </w:tcMar>
          </w:tcPr>
          <w:p>
            <w:pPr>
              <w:jc w:val="left"/>
            </w:pPr>
            <w:r>
              <w:rPr>
                <w:rFonts w:ascii="Arial" w:hAnsi="Arial"/>
                <w:color w:val="2D3748"/>
                <w:sz w:val="19"/>
              </w:rPr>
              <w:t>Global Talent Partners</w:t>
            </w:r>
          </w:p>
        </w:tc>
        <w:tc>
          <w:tcPr>
            <w:tcW w:type="dxa" w:w="1872"/>
            <w:tcMar>
              <w:top w:w="120" w:type="dxa"/>
              <w:bottom w:w="120" w:type="dxa"/>
              <w:left w:w="120" w:type="dxa"/>
              <w:right w:w="120" w:type="dxa"/>
            </w:tcMar>
          </w:tcPr>
          <w:p>
            <w:pPr>
              <w:jc w:val="center"/>
            </w:pPr>
            <w:r>
              <w:rPr>
                <w:rFonts w:ascii="Arial" w:hAnsi="Arial"/>
                <w:color w:val="2D3748"/>
                <w:sz w:val="19"/>
              </w:rPr>
              <w:t>TXN-55410-E</w:t>
            </w:r>
          </w:p>
        </w:tc>
        <w:tc>
          <w:tcPr>
            <w:tcW w:type="dxa" w:w="1872"/>
            <w:tcMar>
              <w:top w:w="120" w:type="dxa"/>
              <w:bottom w:w="120" w:type="dxa"/>
              <w:left w:w="120" w:type="dxa"/>
              <w:right w:w="120" w:type="dxa"/>
            </w:tcMar>
          </w:tcPr>
          <w:p>
            <w:pPr>
              <w:jc w:val="center"/>
            </w:pPr>
            <w:r>
              <w:rPr>
                <w:rFonts w:ascii="Arial" w:hAnsi="Arial"/>
                <w:color w:val="2D3748"/>
                <w:sz w:val="19"/>
              </w:rPr>
              <w:t>75,000</w:t>
            </w:r>
          </w:p>
        </w:tc>
        <w:tc>
          <w:tcPr>
            <w:tcW w:type="dxa" w:w="1872"/>
            <w:tcMar>
              <w:top w:w="120" w:type="dxa"/>
              <w:bottom w:w="120" w:type="dxa"/>
              <w:left w:w="120" w:type="dxa"/>
              <w:right w:w="120" w:type="dxa"/>
            </w:tcMar>
          </w:tcPr>
          <w:p>
            <w:pPr>
              <w:jc w:val="left"/>
            </w:pPr>
            <w:r>
              <w:rPr>
                <w:rFonts w:ascii="Arial" w:hAnsi="Arial"/>
                <w:color w:val="2D3748"/>
                <w:sz w:val="19"/>
              </w:rPr>
              <w:t>Talent Acquisition</w:t>
            </w:r>
          </w:p>
        </w:tc>
      </w:tr>
      <w:tr>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11-Apr-2024</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Vertex Capital Leasing</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TXN-00291-K</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112,000</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Equipment Rental</w:t>
            </w:r>
          </w:p>
        </w:tc>
      </w:tr>
      <w:tr>
        <w:tc>
          <w:tcPr>
            <w:tcW w:type="dxa" w:w="1872"/>
            <w:tcMar>
              <w:top w:w="120" w:type="dxa"/>
              <w:bottom w:w="120" w:type="dxa"/>
              <w:left w:w="120" w:type="dxa"/>
              <w:right w:w="120" w:type="dxa"/>
            </w:tcMar>
          </w:tcPr>
          <w:p>
            <w:pPr>
              <w:jc w:val="center"/>
            </w:pPr>
            <w:r>
              <w:rPr>
                <w:rFonts w:ascii="Arial" w:hAnsi="Arial"/>
                <w:color w:val="2D3748"/>
                <w:sz w:val="19"/>
              </w:rPr>
              <w:t>05-May-2024</w:t>
            </w:r>
          </w:p>
        </w:tc>
        <w:tc>
          <w:tcPr>
            <w:tcW w:type="dxa" w:w="1872"/>
            <w:tcMar>
              <w:top w:w="120" w:type="dxa"/>
              <w:bottom w:w="120" w:type="dxa"/>
              <w:left w:w="120" w:type="dxa"/>
              <w:right w:w="120" w:type="dxa"/>
            </w:tcMar>
          </w:tcPr>
          <w:p>
            <w:pPr>
              <w:jc w:val="left"/>
            </w:pPr>
            <w:r>
              <w:rPr>
                <w:rFonts w:ascii="Arial" w:hAnsi="Arial"/>
                <w:color w:val="2D3748"/>
                <w:sz w:val="19"/>
              </w:rPr>
              <w:t>Quantum Analytics Group</w:t>
            </w:r>
          </w:p>
        </w:tc>
        <w:tc>
          <w:tcPr>
            <w:tcW w:type="dxa" w:w="1872"/>
            <w:tcMar>
              <w:top w:w="120" w:type="dxa"/>
              <w:bottom w:w="120" w:type="dxa"/>
              <w:left w:w="120" w:type="dxa"/>
              <w:right w:w="120" w:type="dxa"/>
            </w:tcMar>
          </w:tcPr>
          <w:p>
            <w:pPr>
              <w:jc w:val="center"/>
            </w:pPr>
            <w:r>
              <w:rPr>
                <w:rFonts w:ascii="Arial" w:hAnsi="Arial"/>
                <w:color w:val="2D3748"/>
                <w:sz w:val="19"/>
              </w:rPr>
              <w:t>TXN-77312-L</w:t>
            </w:r>
          </w:p>
        </w:tc>
        <w:tc>
          <w:tcPr>
            <w:tcW w:type="dxa" w:w="1872"/>
            <w:tcMar>
              <w:top w:w="120" w:type="dxa"/>
              <w:bottom w:w="120" w:type="dxa"/>
              <w:left w:w="120" w:type="dxa"/>
              <w:right w:w="120" w:type="dxa"/>
            </w:tcMar>
          </w:tcPr>
          <w:p>
            <w:pPr>
              <w:jc w:val="center"/>
            </w:pPr>
            <w:r>
              <w:rPr>
                <w:rFonts w:ascii="Arial" w:hAnsi="Arial"/>
                <w:color w:val="2D3748"/>
                <w:sz w:val="19"/>
              </w:rPr>
              <w:t>64,800</w:t>
            </w:r>
          </w:p>
        </w:tc>
        <w:tc>
          <w:tcPr>
            <w:tcW w:type="dxa" w:w="1872"/>
            <w:tcMar>
              <w:top w:w="120" w:type="dxa"/>
              <w:bottom w:w="120" w:type="dxa"/>
              <w:left w:w="120" w:type="dxa"/>
              <w:right w:w="120" w:type="dxa"/>
            </w:tcMar>
          </w:tcPr>
          <w:p>
            <w:pPr>
              <w:jc w:val="left"/>
            </w:pPr>
            <w:r>
              <w:rPr>
                <w:rFonts w:ascii="Arial" w:hAnsi="Arial"/>
                <w:color w:val="2D3748"/>
                <w:sz w:val="19"/>
              </w:rPr>
              <w:t>Data Modeling</w:t>
            </w:r>
          </w:p>
        </w:tc>
      </w:tr>
      <w:tr>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22-May-2024</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SecureNet Protocols</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TXN-33419-P</w:t>
            </w:r>
          </w:p>
        </w:tc>
        <w:tc>
          <w:tcPr>
            <w:tcW w:type="dxa" w:w="1872"/>
            <w:tcMar>
              <w:top w:w="120" w:type="dxa"/>
              <w:bottom w:w="120" w:type="dxa"/>
              <w:left w:w="120" w:type="dxa"/>
              <w:right w:w="120" w:type="dxa"/>
            </w:tcMar>
            <w:shd w:val="clear" w:color="auto" w:fill="F9FAFB"/>
          </w:tcPr>
          <w:p>
            <w:pPr>
              <w:jc w:val="center"/>
            </w:pPr>
            <w:r>
              <w:rPr>
                <w:rFonts w:ascii="Arial" w:hAnsi="Arial"/>
                <w:color w:val="2D3748"/>
                <w:sz w:val="19"/>
              </w:rPr>
              <w:t>185,000</w:t>
            </w:r>
          </w:p>
        </w:tc>
        <w:tc>
          <w:tcPr>
            <w:tcW w:type="dxa" w:w="1872"/>
            <w:tcMar>
              <w:top w:w="120" w:type="dxa"/>
              <w:bottom w:w="120" w:type="dxa"/>
              <w:left w:w="120" w:type="dxa"/>
              <w:right w:w="120" w:type="dxa"/>
            </w:tcMar>
            <w:shd w:val="clear" w:color="auto" w:fill="F9FAFB"/>
          </w:tcPr>
          <w:p>
            <w:pPr>
              <w:jc w:val="left"/>
            </w:pPr>
            <w:r>
              <w:rPr>
                <w:rFonts w:ascii="Arial" w:hAnsi="Arial"/>
                <w:color w:val="2D3748"/>
                <w:sz w:val="19"/>
              </w:rPr>
              <w:t>Network Defense</w:t>
            </w:r>
          </w:p>
        </w:tc>
      </w:tr>
    </w:tbl>
    <w:p>
      <w:pPr>
        <w:spacing w:after="240"/>
      </w:pPr>
    </w:p>
    <w:p>
      <w:pPr>
        <w:pStyle w:val="Heading1"/>
        <w:keepNext/>
        <w:spacing w:before="360" w:after="240"/>
      </w:pPr>
      <w:r>
        <w:rPr>
          <w:rFonts w:ascii="Arial" w:hAnsi="Arial"/>
          <w:color w:val="1E3A8A"/>
        </w:rPr>
        <w:t>Section 5: Conclusion &amp; Forward Outlook</w:t>
      </w:r>
    </w:p>
    <w:p>
      <w:pPr>
        <w:spacing w:after="240" w:line="276" w:lineRule="auto"/>
      </w:pPr>
      <w:r>
        <w:rPr>
          <w:rFonts w:ascii="Arial" w:hAnsi="Arial"/>
          <w:color w:val="2D3748"/>
          <w:sz w:val="22"/>
        </w:rPr>
        <w:t>Vertex Innovations Group remains well-positioned to leverage emerging industry trends as we head into the next fiscal period. By constantly refining our execution models and updating key technological systems, we will continue protecting our core market position. Our structural discipline ensures we stay agile enough to capitalize on high-yield opportunities ahead.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