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left"/>
      </w:pPr>
      <w:r>
        <w:rPr>
          <w:rFonts w:ascii="Arial" w:cs="Arial" w:eastAsia="Arial" w:hAnsi="Arial"/>
          <w:b/>
          <w:bCs/>
          <w:color w:val="6B7280"/>
          <w:sz w:val="18"/>
          <w:szCs w:val="18"/>
        </w:rPr>
        <w:t xml:space="preserve">INSTITUTIONAL RESEARCH</w:t>
      </w:r>
    </w:p>
    <w:p>
      <w:pPr>
        <w:spacing w:after="60" w:before="180"/>
        <w:jc w:val="left"/>
      </w:pPr>
      <w:r>
        <w:rPr>
          <w:rFonts w:ascii="Arial" w:cs="Arial" w:eastAsia="Arial" w:hAnsi="Arial"/>
          <w:b/>
          <w:bCs/>
          <w:color w:val="1F2937"/>
          <w:sz w:val="56"/>
          <w:szCs w:val="56"/>
        </w:rPr>
        <w:t xml:space="preserve">Data Center Asset-Owner Universe</w:t>
      </w:r>
    </w:p>
    <w:p>
      <w:pPr>
        <w:spacing w:after="0" w:before="60"/>
        <w:jc w:val="left"/>
      </w:pPr>
      <w:r>
        <w:rPr>
          <w:rFonts w:ascii="Arial" w:cs="Arial" w:eastAsia="Arial" w:hAnsi="Arial"/>
          <w:b/>
          <w:bCs/>
          <w:color w:val="1F2937"/>
          <w:sz w:val="32"/>
          <w:szCs w:val="32"/>
        </w:rPr>
        <w:t xml:space="preserve">United States — Detailed Segment Breakdown</w:t>
      </w:r>
    </w:p>
    <w:p>
      <w:pPr>
        <w:spacing w:after="600" w:before="60"/>
        <w:jc w:val="left"/>
      </w:pPr>
      <w:r>
        <w:rPr>
          <w:rFonts w:ascii="Arial" w:cs="Arial" w:eastAsia="Arial" w:hAnsi="Arial"/>
          <w:b/>
          <w:bCs/>
          <w:color w:val="2563EB"/>
          <w:sz w:val="32"/>
          <w:szCs w:val="32"/>
        </w:rPr>
        <w:t xml:space="preserve">India — Exhaustive Mirror Map</w:t>
      </w:r>
    </w:p>
    <w:p>
      <w:pPr>
        <w:pBdr>
          <w:top w:val="single" w:color="2563EB" w:sz="24" w:space="4"/>
        </w:pBdr>
        <w:spacing w:after="200" w:before="0"/>
      </w:pPr>
    </w:p>
    <w:p>
      <w:pPr>
        <w:spacing w:after="60" w:before="60" w:line="300"/>
        <w:jc w:val="left"/>
      </w:pPr>
      <w:r>
        <w:rPr>
          <w:rFonts w:ascii="Arial" w:cs="Arial" w:eastAsia="Arial" w:hAnsi="Arial"/>
          <w:b w:val="false"/>
          <w:bCs w:val="false"/>
          <w:i w:val="false"/>
          <w:iCs w:val="false"/>
          <w:color w:val="1F2937"/>
          <w:sz w:val="22"/>
          <w:szCs w:val="22"/>
        </w:rPr>
        <w:t xml:space="preserve">Who actually owns the assets that monetized the US data center buildout — and which Indian companies sit in the equivalent slot of the value chain. Built to identify segment-by-segment mirrors and to flag where the Indian listed universe has a true structural gap versus the US.</w:t>
      </w:r>
    </w:p>
    <w:p>
      <w:pPr>
        <w:spacing w:after="0" w:before="360"/>
      </w:pPr>
    </w:p>
    <w:p>
      <w:pPr>
        <w:spacing w:after="60" w:before="60" w:line="300"/>
        <w:jc w:val="left"/>
      </w:pPr>
      <w:r>
        <w:rPr>
          <w:rFonts w:ascii="Arial" w:cs="Arial" w:eastAsia="Arial" w:hAnsi="Arial"/>
          <w:b/>
          <w:bCs/>
          <w:i w:val="false"/>
          <w:iCs w:val="false"/>
          <w:color w:val="6B7280"/>
          <w:sz w:val="22"/>
          <w:szCs w:val="22"/>
        </w:rPr>
        <w:t xml:space="preserve">CONTENTS</w:t>
      </w:r>
    </w:p>
    <w:p>
      <w:pPr>
        <w:spacing w:after="60" w:before="60" w:line="300"/>
        <w:jc w:val="left"/>
      </w:pPr>
      <w:r>
        <w:rPr>
          <w:rFonts w:ascii="Arial" w:cs="Arial" w:eastAsia="Arial" w:hAnsi="Arial"/>
          <w:b w:val="false"/>
          <w:bCs w:val="false"/>
          <w:i w:val="false"/>
          <w:iCs w:val="false"/>
          <w:color w:val="1F2937"/>
          <w:sz w:val="20"/>
          <w:szCs w:val="20"/>
        </w:rPr>
        <w:t xml:space="preserve">Section 1 — Scope and methodology</w:t>
      </w:r>
    </w:p>
    <w:p>
      <w:pPr>
        <w:spacing w:after="60" w:before="60" w:line="300"/>
        <w:jc w:val="left"/>
      </w:pPr>
      <w:r>
        <w:rPr>
          <w:rFonts w:ascii="Arial" w:cs="Arial" w:eastAsia="Arial" w:hAnsi="Arial"/>
          <w:b w:val="false"/>
          <w:bCs w:val="false"/>
          <w:i w:val="false"/>
          <w:iCs w:val="false"/>
          <w:color w:val="1F2937"/>
          <w:sz w:val="20"/>
          <w:szCs w:val="20"/>
        </w:rPr>
        <w:t xml:space="preserve">Section 2 — US asset-owner segments (exhaustive)</w:t>
      </w:r>
    </w:p>
    <w:p>
      <w:pPr>
        <w:spacing w:after="60" w:before="60" w:line="300"/>
        <w:jc w:val="left"/>
      </w:pPr>
      <w:r>
        <w:rPr>
          <w:rFonts w:ascii="Arial" w:cs="Arial" w:eastAsia="Arial" w:hAnsi="Arial"/>
          <w:b w:val="false"/>
          <w:bCs w:val="false"/>
          <w:i w:val="false"/>
          <w:iCs w:val="false"/>
          <w:color w:val="1F2937"/>
          <w:sz w:val="20"/>
          <w:szCs w:val="20"/>
        </w:rPr>
        <w:t xml:space="preserve">    2.1 Hyperscale data center operators (self-build)</w:t>
      </w:r>
    </w:p>
    <w:p>
      <w:pPr>
        <w:spacing w:after="60" w:before="60" w:line="300"/>
        <w:jc w:val="left"/>
      </w:pPr>
      <w:r>
        <w:rPr>
          <w:rFonts w:ascii="Arial" w:cs="Arial" w:eastAsia="Arial" w:hAnsi="Arial"/>
          <w:b w:val="false"/>
          <w:bCs w:val="false"/>
          <w:i w:val="false"/>
          <w:iCs w:val="false"/>
          <w:color w:val="1F2937"/>
          <w:sz w:val="20"/>
          <w:szCs w:val="20"/>
        </w:rPr>
        <w:t xml:space="preserve">    2.2 Wholesale colocation REITs and operators</w:t>
      </w:r>
    </w:p>
    <w:p>
      <w:pPr>
        <w:spacing w:after="60" w:before="60" w:line="300"/>
        <w:jc w:val="left"/>
      </w:pPr>
      <w:r>
        <w:rPr>
          <w:rFonts w:ascii="Arial" w:cs="Arial" w:eastAsia="Arial" w:hAnsi="Arial"/>
          <w:b w:val="false"/>
          <w:bCs w:val="false"/>
          <w:i w:val="false"/>
          <w:iCs w:val="false"/>
          <w:color w:val="1F2937"/>
          <w:sz w:val="20"/>
          <w:szCs w:val="20"/>
        </w:rPr>
        <w:t xml:space="preserve">    2.3 Retail colocation and interconnection</w:t>
      </w:r>
    </w:p>
    <w:p>
      <w:pPr>
        <w:spacing w:after="60" w:before="60" w:line="300"/>
        <w:jc w:val="left"/>
      </w:pPr>
      <w:r>
        <w:rPr>
          <w:rFonts w:ascii="Arial" w:cs="Arial" w:eastAsia="Arial" w:hAnsi="Arial"/>
          <w:b w:val="false"/>
          <w:bCs w:val="false"/>
          <w:i w:val="false"/>
          <w:iCs w:val="false"/>
          <w:color w:val="1F2937"/>
          <w:sz w:val="20"/>
          <w:szCs w:val="20"/>
        </w:rPr>
        <w:t xml:space="preserve">    2.4 Neocloud and GPU-as-a-service operators</w:t>
      </w:r>
    </w:p>
    <w:p>
      <w:pPr>
        <w:spacing w:after="60" w:before="60" w:line="300"/>
        <w:jc w:val="left"/>
      </w:pPr>
      <w:r>
        <w:rPr>
          <w:rFonts w:ascii="Arial" w:cs="Arial" w:eastAsia="Arial" w:hAnsi="Arial"/>
          <w:b w:val="false"/>
          <w:bCs w:val="false"/>
          <w:i w:val="false"/>
          <w:iCs w:val="false"/>
          <w:color w:val="1F2937"/>
          <w:sz w:val="20"/>
          <w:szCs w:val="20"/>
        </w:rPr>
        <w:t xml:space="preserve">    2.5 BTC-miner pivots to AI hosting</w:t>
      </w:r>
    </w:p>
    <w:p>
      <w:pPr>
        <w:spacing w:after="60" w:before="60" w:line="300"/>
        <w:jc w:val="left"/>
      </w:pPr>
      <w:r>
        <w:rPr>
          <w:rFonts w:ascii="Arial" w:cs="Arial" w:eastAsia="Arial" w:hAnsi="Arial"/>
          <w:b w:val="false"/>
          <w:bCs w:val="false"/>
          <w:i w:val="false"/>
          <w:iCs w:val="false"/>
          <w:color w:val="1F2937"/>
          <w:sz w:val="20"/>
          <w:szCs w:val="20"/>
        </w:rPr>
        <w:t xml:space="preserve">    2.6 Shell builders, design-build EPC and modular DC</w:t>
      </w:r>
    </w:p>
    <w:p>
      <w:pPr>
        <w:spacing w:after="60" w:before="60" w:line="300"/>
        <w:jc w:val="left"/>
      </w:pPr>
      <w:r>
        <w:rPr>
          <w:rFonts w:ascii="Arial" w:cs="Arial" w:eastAsia="Arial" w:hAnsi="Arial"/>
          <w:b w:val="false"/>
          <w:bCs w:val="false"/>
          <w:i w:val="false"/>
          <w:iCs w:val="false"/>
          <w:color w:val="1F2937"/>
          <w:sz w:val="20"/>
          <w:szCs w:val="20"/>
        </w:rPr>
        <w:t xml:space="preserve">    2.7 Power and land asset owners with DC adjacency</w:t>
      </w:r>
    </w:p>
    <w:p>
      <w:pPr>
        <w:spacing w:after="60" w:before="60" w:line="300"/>
        <w:jc w:val="left"/>
      </w:pPr>
      <w:r>
        <w:rPr>
          <w:rFonts w:ascii="Arial" w:cs="Arial" w:eastAsia="Arial" w:hAnsi="Arial"/>
          <w:b w:val="false"/>
          <w:bCs w:val="false"/>
          <w:i w:val="false"/>
          <w:iCs w:val="false"/>
          <w:color w:val="1F2937"/>
          <w:sz w:val="20"/>
          <w:szCs w:val="20"/>
        </w:rPr>
        <w:t xml:space="preserve">    2.8 Fiber, interconnect and dark fiber owners</w:t>
      </w:r>
    </w:p>
    <w:p>
      <w:pPr>
        <w:spacing w:after="60" w:before="60" w:line="300"/>
        <w:jc w:val="left"/>
      </w:pPr>
      <w:r>
        <w:rPr>
          <w:rFonts w:ascii="Arial" w:cs="Arial" w:eastAsia="Arial" w:hAnsi="Arial"/>
          <w:b w:val="false"/>
          <w:bCs w:val="false"/>
          <w:i w:val="false"/>
          <w:iCs w:val="false"/>
          <w:color w:val="1F2937"/>
          <w:sz w:val="20"/>
          <w:szCs w:val="20"/>
        </w:rPr>
        <w:t xml:space="preserve">    2.9 Real estate plays adjacent to DC clusters</w:t>
      </w:r>
    </w:p>
    <w:p>
      <w:pPr>
        <w:spacing w:after="60" w:before="60" w:line="300"/>
        <w:jc w:val="left"/>
      </w:pPr>
      <w:r>
        <w:rPr>
          <w:rFonts w:ascii="Arial" w:cs="Arial" w:eastAsia="Arial" w:hAnsi="Arial"/>
          <w:b w:val="false"/>
          <w:bCs w:val="false"/>
          <w:i w:val="false"/>
          <w:iCs w:val="false"/>
          <w:color w:val="1F2937"/>
          <w:sz w:val="20"/>
          <w:szCs w:val="20"/>
        </w:rPr>
        <w:t xml:space="preserve">    2.10 GPU asset owners and AI infrastructure financiers</w:t>
      </w:r>
    </w:p>
    <w:p>
      <w:pPr>
        <w:spacing w:after="60" w:before="60" w:line="300"/>
        <w:jc w:val="left"/>
      </w:pPr>
      <w:r>
        <w:rPr>
          <w:rFonts w:ascii="Arial" w:cs="Arial" w:eastAsia="Arial" w:hAnsi="Arial"/>
          <w:b w:val="false"/>
          <w:bCs w:val="false"/>
          <w:i w:val="false"/>
          <w:iCs w:val="false"/>
          <w:color w:val="1F2937"/>
          <w:sz w:val="20"/>
          <w:szCs w:val="20"/>
        </w:rPr>
        <w:t xml:space="preserve">Section 3 — Why the asset owners made money</w:t>
      </w:r>
    </w:p>
    <w:p>
      <w:pPr>
        <w:spacing w:after="60" w:before="60" w:line="300"/>
        <w:jc w:val="left"/>
      </w:pPr>
      <w:r>
        <w:rPr>
          <w:rFonts w:ascii="Arial" w:cs="Arial" w:eastAsia="Arial" w:hAnsi="Arial"/>
          <w:b w:val="false"/>
          <w:bCs w:val="false"/>
          <w:i w:val="false"/>
          <w:iCs w:val="false"/>
          <w:color w:val="1F2937"/>
          <w:sz w:val="20"/>
          <w:szCs w:val="20"/>
        </w:rPr>
        <w:t xml:space="preserve">Section 4 — India mirror map by segment (exhaustive)</w:t>
      </w:r>
    </w:p>
    <w:p>
      <w:pPr>
        <w:spacing w:after="60" w:before="60" w:line="300"/>
        <w:jc w:val="left"/>
      </w:pPr>
      <w:r>
        <w:rPr>
          <w:rFonts w:ascii="Arial" w:cs="Arial" w:eastAsia="Arial" w:hAnsi="Arial"/>
          <w:b w:val="false"/>
          <w:bCs w:val="false"/>
          <w:i w:val="false"/>
          <w:iCs w:val="false"/>
          <w:color w:val="1F2937"/>
          <w:sz w:val="20"/>
          <w:szCs w:val="20"/>
        </w:rPr>
        <w:t xml:space="preserve">Section 5 — Structural gaps in the Indian listed universe</w:t>
      </w:r>
    </w:p>
    <w:p>
      <w:pPr>
        <w:spacing w:after="60" w:before="60" w:line="300"/>
        <w:jc w:val="left"/>
      </w:pPr>
      <w:r>
        <w:rPr>
          <w:rFonts w:ascii="Arial" w:cs="Arial" w:eastAsia="Arial" w:hAnsi="Arial"/>
          <w:b w:val="false"/>
          <w:bCs w:val="false"/>
          <w:i w:val="false"/>
          <w:iCs w:val="false"/>
          <w:color w:val="1F2937"/>
          <w:sz w:val="20"/>
          <w:szCs w:val="20"/>
        </w:rPr>
        <w:t xml:space="preserve">Section 6 — Investment framework and watch triggers</w:t>
      </w:r>
    </w:p>
    <w:p>
      <w:r>
        <w:br w:type="page"/>
      </w:r>
    </w:p>
    <w:p>
      <w:pPr>
        <w:pStyle w:val="Heading1"/>
        <w:spacing w:after="200" w:before="480"/>
      </w:pPr>
      <w:r>
        <w:rPr>
          <w:rFonts w:ascii="Arial" w:cs="Arial" w:eastAsia="Arial" w:hAnsi="Arial"/>
          <w:b/>
          <w:bCs/>
          <w:color w:val="1F2937"/>
          <w:sz w:val="36"/>
          <w:szCs w:val="36"/>
        </w:rPr>
        <w:t xml:space="preserve">1. Scope and methodology</w:t>
      </w:r>
    </w:p>
    <w:p>
      <w:pPr>
        <w:pStyle w:val="Heading3"/>
        <w:spacing w:after="120" w:before="280"/>
      </w:pPr>
      <w:r>
        <w:rPr>
          <w:rFonts w:ascii="Arial" w:cs="Arial" w:eastAsia="Arial" w:hAnsi="Arial"/>
          <w:b/>
          <w:bCs/>
          <w:color w:val="2563EB"/>
          <w:sz w:val="24"/>
          <w:szCs w:val="24"/>
        </w:rPr>
        <w:t xml:space="preserve">What this report covers</w:t>
      </w:r>
    </w:p>
    <w:p>
      <w:pPr>
        <w:spacing w:after="60" w:before="60" w:line="300"/>
        <w:jc w:val="left"/>
      </w:pPr>
      <w:r>
        <w:rPr>
          <w:rFonts w:ascii="Arial" w:cs="Arial" w:eastAsia="Arial" w:hAnsi="Arial"/>
          <w:b w:val="false"/>
          <w:bCs w:val="false"/>
          <w:i w:val="false"/>
          <w:iCs w:val="false"/>
          <w:color w:val="1F2937"/>
          <w:sz w:val="20"/>
          <w:szCs w:val="20"/>
        </w:rPr>
        <w:t xml:space="preserve">This report covers the asset-owner layer of the US data center value chain — entities that own physical infrastructure (land, buildings, power rights, fiber, GPUs, or whole data center campuses) and monetize that infrastructure through long-term contracts or revenue streams tied to data center demand. It deliberately excludes the equipment OEMs (electrical, cooling, transformer), the chip designers, and the IT services / models layer, which were covered in companion reports.</w:t>
      </w:r>
    </w:p>
    <w:p>
      <w:pPr>
        <w:spacing w:after="60" w:before="60" w:line="300"/>
        <w:jc w:val="left"/>
      </w:pPr>
      <w:r>
        <w:rPr>
          <w:rFonts w:ascii="Arial" w:cs="Arial" w:eastAsia="Arial" w:hAnsi="Arial"/>
          <w:b w:val="false"/>
          <w:bCs w:val="false"/>
          <w:i w:val="false"/>
          <w:iCs w:val="false"/>
          <w:color w:val="1F2937"/>
          <w:sz w:val="20"/>
          <w:szCs w:val="20"/>
        </w:rPr>
        <w:t xml:space="preserve">Within the asset-owner perimeter, the universe splits into ten segments arranged from highest-end-to-end ownership to most specialized:</w:t>
      </w:r>
    </w:p>
    <w:p>
      <w:pPr>
        <w:pStyle w:val="ListParagraph"/>
        <w:numPr>
          <w:ilvl w:val="0"/>
          <w:numId w:val="2"/>
        </w:numPr>
        <w:spacing w:after="40" w:before="40" w:line="280"/>
      </w:pPr>
      <w:r>
        <w:rPr>
          <w:rFonts w:ascii="Arial" w:cs="Arial" w:eastAsia="Arial" w:hAnsi="Arial"/>
          <w:b/>
          <w:bCs/>
          <w:i w:val="false"/>
          <w:iCs w:val="false"/>
          <w:color w:val="1F2937"/>
          <w:sz w:val="20"/>
          <w:szCs w:val="20"/>
        </w:rPr>
        <w:t xml:space="preserve">Hyperscale self-build</w:t>
      </w:r>
      <w:r>
        <w:rPr>
          <w:rFonts w:ascii="Arial" w:cs="Arial" w:eastAsia="Arial" w:hAnsi="Arial"/>
          <w:b w:val="false"/>
          <w:bCs w:val="false"/>
          <w:i w:val="false"/>
          <w:iCs w:val="false"/>
          <w:color w:val="1F2937"/>
          <w:sz w:val="20"/>
          <w:szCs w:val="20"/>
        </w:rPr>
        <w:t xml:space="preserve"> — operators that design, build, and own their own data centers (the FAAMG / MSFT-AMZN-GOOG-META group plus Apple and Oracle)</w:t>
      </w:r>
    </w:p>
    <w:p>
      <w:pPr>
        <w:pStyle w:val="ListParagraph"/>
        <w:numPr>
          <w:ilvl w:val="0"/>
          <w:numId w:val="2"/>
        </w:numPr>
        <w:spacing w:after="40" w:before="40" w:line="280"/>
      </w:pPr>
      <w:r>
        <w:rPr>
          <w:rFonts w:ascii="Arial" w:cs="Arial" w:eastAsia="Arial" w:hAnsi="Arial"/>
          <w:b/>
          <w:bCs/>
          <w:i w:val="false"/>
          <w:iCs w:val="false"/>
          <w:color w:val="1F2937"/>
          <w:sz w:val="20"/>
          <w:szCs w:val="20"/>
        </w:rPr>
        <w:t xml:space="preserve">Wholesale colocation REITs</w:t>
      </w:r>
      <w:r>
        <w:rPr>
          <w:rFonts w:ascii="Arial" w:cs="Arial" w:eastAsia="Arial" w:hAnsi="Arial"/>
          <w:b w:val="false"/>
          <w:bCs w:val="false"/>
          <w:i w:val="false"/>
          <w:iCs w:val="false"/>
          <w:color w:val="1F2937"/>
          <w:sz w:val="20"/>
          <w:szCs w:val="20"/>
        </w:rPr>
        <w:t xml:space="preserve"> — lease entire halls or multi-megawatt blocks to hyperscalers under long contracts (Digital Realty, Equinix wholesale arm, Iron Mountain, QTS / DigitalBridge)</w:t>
      </w:r>
    </w:p>
    <w:p>
      <w:pPr>
        <w:pStyle w:val="ListParagraph"/>
        <w:numPr>
          <w:ilvl w:val="0"/>
          <w:numId w:val="2"/>
        </w:numPr>
        <w:spacing w:after="40" w:before="40" w:line="280"/>
      </w:pPr>
      <w:r>
        <w:rPr>
          <w:rFonts w:ascii="Arial" w:cs="Arial" w:eastAsia="Arial" w:hAnsi="Arial"/>
          <w:b/>
          <w:bCs/>
          <w:i w:val="false"/>
          <w:iCs w:val="false"/>
          <w:color w:val="1F2937"/>
          <w:sz w:val="20"/>
          <w:szCs w:val="20"/>
        </w:rPr>
        <w:t xml:space="preserve">Retail colocation and interconnection</w:t>
      </w:r>
      <w:r>
        <w:rPr>
          <w:rFonts w:ascii="Arial" w:cs="Arial" w:eastAsia="Arial" w:hAnsi="Arial"/>
          <w:b w:val="false"/>
          <w:bCs w:val="false"/>
          <w:i w:val="false"/>
          <w:iCs w:val="false"/>
          <w:color w:val="1F2937"/>
          <w:sz w:val="20"/>
          <w:szCs w:val="20"/>
        </w:rPr>
        <w:t xml:space="preserve"> — sell rack-and-cabinet space and interconnection ports to enterprises (Equinix retail, Cyxtera before bankruptcy, smaller operators)</w:t>
      </w:r>
    </w:p>
    <w:p>
      <w:pPr>
        <w:pStyle w:val="ListParagraph"/>
        <w:numPr>
          <w:ilvl w:val="0"/>
          <w:numId w:val="2"/>
        </w:numPr>
        <w:spacing w:after="40" w:before="40" w:line="280"/>
      </w:pPr>
      <w:r>
        <w:rPr>
          <w:rFonts w:ascii="Arial" w:cs="Arial" w:eastAsia="Arial" w:hAnsi="Arial"/>
          <w:b/>
          <w:bCs/>
          <w:i w:val="false"/>
          <w:iCs w:val="false"/>
          <w:color w:val="1F2937"/>
          <w:sz w:val="20"/>
          <w:szCs w:val="20"/>
        </w:rPr>
        <w:t xml:space="preserve">Neocloud and GPU-as-a-service</w:t>
      </w:r>
      <w:r>
        <w:rPr>
          <w:rFonts w:ascii="Arial" w:cs="Arial" w:eastAsia="Arial" w:hAnsi="Arial"/>
          <w:b w:val="false"/>
          <w:bCs w:val="false"/>
          <w:i w:val="false"/>
          <w:iCs w:val="false"/>
          <w:color w:val="1F2937"/>
          <w:sz w:val="20"/>
          <w:szCs w:val="20"/>
        </w:rPr>
        <w:t xml:space="preserve"> — purpose-built GPU compute providers (CoreWeave, Nebius, Applied Digital, Crusoe)</w:t>
      </w:r>
    </w:p>
    <w:p>
      <w:pPr>
        <w:pStyle w:val="ListParagraph"/>
        <w:numPr>
          <w:ilvl w:val="0"/>
          <w:numId w:val="2"/>
        </w:numPr>
        <w:spacing w:after="40" w:before="40" w:line="280"/>
      </w:pPr>
      <w:r>
        <w:rPr>
          <w:rFonts w:ascii="Arial" w:cs="Arial" w:eastAsia="Arial" w:hAnsi="Arial"/>
          <w:b/>
          <w:bCs/>
          <w:i w:val="false"/>
          <w:iCs w:val="false"/>
          <w:color w:val="1F2937"/>
          <w:sz w:val="20"/>
          <w:szCs w:val="20"/>
        </w:rPr>
        <w:t xml:space="preserve">BTC-miner pivots to AI hosting</w:t>
      </w:r>
      <w:r>
        <w:rPr>
          <w:rFonts w:ascii="Arial" w:cs="Arial" w:eastAsia="Arial" w:hAnsi="Arial"/>
          <w:b w:val="false"/>
          <w:bCs w:val="false"/>
          <w:i w:val="false"/>
          <w:iCs w:val="false"/>
          <w:color w:val="1F2937"/>
          <w:sz w:val="20"/>
          <w:szCs w:val="20"/>
        </w:rPr>
        <w:t xml:space="preserve"> — Bitcoin miners that converted facility energy capacity to GPU hosting (IREN, Hut 8, Cipher, TeraWulf, Bitdeer, others)</w:t>
      </w:r>
    </w:p>
    <w:p>
      <w:pPr>
        <w:pStyle w:val="ListParagraph"/>
        <w:numPr>
          <w:ilvl w:val="0"/>
          <w:numId w:val="2"/>
        </w:numPr>
        <w:spacing w:after="40" w:before="40" w:line="280"/>
      </w:pPr>
      <w:r>
        <w:rPr>
          <w:rFonts w:ascii="Arial" w:cs="Arial" w:eastAsia="Arial" w:hAnsi="Arial"/>
          <w:b/>
          <w:bCs/>
          <w:i w:val="false"/>
          <w:iCs w:val="false"/>
          <w:color w:val="1F2937"/>
          <w:sz w:val="20"/>
          <w:szCs w:val="20"/>
        </w:rPr>
        <w:t xml:space="preserve">Shell builders, design-build EPC and modular DC</w:t>
      </w:r>
      <w:r>
        <w:rPr>
          <w:rFonts w:ascii="Arial" w:cs="Arial" w:eastAsia="Arial" w:hAnsi="Arial"/>
          <w:b w:val="false"/>
          <w:bCs w:val="false"/>
          <w:i w:val="false"/>
          <w:iCs w:val="false"/>
          <w:color w:val="1F2937"/>
          <w:sz w:val="20"/>
          <w:szCs w:val="20"/>
        </w:rPr>
        <w:t xml:space="preserve"> — firms that physically construct DC buildings (DPR Construction, Holder, Turner-Mortenson JV, Rogers-O'Brien, modular vendors)</w:t>
      </w:r>
    </w:p>
    <w:p>
      <w:pPr>
        <w:pStyle w:val="ListParagraph"/>
        <w:numPr>
          <w:ilvl w:val="0"/>
          <w:numId w:val="2"/>
        </w:numPr>
        <w:spacing w:after="40" w:before="40" w:line="280"/>
      </w:pPr>
      <w:r>
        <w:rPr>
          <w:rFonts w:ascii="Arial" w:cs="Arial" w:eastAsia="Arial" w:hAnsi="Arial"/>
          <w:b/>
          <w:bCs/>
          <w:i w:val="false"/>
          <w:iCs w:val="false"/>
          <w:color w:val="1F2937"/>
          <w:sz w:val="20"/>
          <w:szCs w:val="20"/>
        </w:rPr>
        <w:t xml:space="preserve">Power and land asset owners with DC adjacency</w:t>
      </w:r>
      <w:r>
        <w:rPr>
          <w:rFonts w:ascii="Arial" w:cs="Arial" w:eastAsia="Arial" w:hAnsi="Arial"/>
          <w:b w:val="false"/>
          <w:bCs w:val="false"/>
          <w:i w:val="false"/>
          <w:iCs w:val="false"/>
          <w:color w:val="1F2937"/>
          <w:sz w:val="20"/>
          <w:szCs w:val="20"/>
        </w:rPr>
        <w:t xml:space="preserve"> — owners of generation assets, substations, and land parcels that can host or be sold to DC operators (Talen, Constellation, Vistra, certain land developers)</w:t>
      </w:r>
    </w:p>
    <w:p>
      <w:pPr>
        <w:pStyle w:val="ListParagraph"/>
        <w:numPr>
          <w:ilvl w:val="0"/>
          <w:numId w:val="2"/>
        </w:numPr>
        <w:spacing w:after="40" w:before="40" w:line="280"/>
      </w:pPr>
      <w:r>
        <w:rPr>
          <w:rFonts w:ascii="Arial" w:cs="Arial" w:eastAsia="Arial" w:hAnsi="Arial"/>
          <w:b/>
          <w:bCs/>
          <w:i w:val="false"/>
          <w:iCs w:val="false"/>
          <w:color w:val="1F2937"/>
          <w:sz w:val="20"/>
          <w:szCs w:val="20"/>
        </w:rPr>
        <w:t xml:space="preserve">Fiber, interconnect and dark fiber owners</w:t>
      </w:r>
      <w:r>
        <w:rPr>
          <w:rFonts w:ascii="Arial" w:cs="Arial" w:eastAsia="Arial" w:hAnsi="Arial"/>
          <w:b w:val="false"/>
          <w:bCs w:val="false"/>
          <w:i w:val="false"/>
          <w:iCs w:val="false"/>
          <w:color w:val="1F2937"/>
          <w:sz w:val="20"/>
          <w:szCs w:val="20"/>
        </w:rPr>
        <w:t xml:space="preserve"> — long-haul and metro fiber operators, IXP owners, subsea cable consortia (Zayo private, Lumen, Crown Castle fiber arm, Cologix)</w:t>
      </w:r>
    </w:p>
    <w:p>
      <w:pPr>
        <w:pStyle w:val="ListParagraph"/>
        <w:numPr>
          <w:ilvl w:val="0"/>
          <w:numId w:val="2"/>
        </w:numPr>
        <w:spacing w:after="40" w:before="40" w:line="280"/>
      </w:pPr>
      <w:r>
        <w:rPr>
          <w:rFonts w:ascii="Arial" w:cs="Arial" w:eastAsia="Arial" w:hAnsi="Arial"/>
          <w:b/>
          <w:bCs/>
          <w:i w:val="false"/>
          <w:iCs w:val="false"/>
          <w:color w:val="1F2937"/>
          <w:sz w:val="20"/>
          <w:szCs w:val="20"/>
        </w:rPr>
        <w:t xml:space="preserve">Real estate plays adjacent to DC clusters</w:t>
      </w:r>
      <w:r>
        <w:rPr>
          <w:rFonts w:ascii="Arial" w:cs="Arial" w:eastAsia="Arial" w:hAnsi="Arial"/>
          <w:b w:val="false"/>
          <w:bCs w:val="false"/>
          <w:i w:val="false"/>
          <w:iCs w:val="false"/>
          <w:color w:val="1F2937"/>
          <w:sz w:val="20"/>
          <w:szCs w:val="20"/>
        </w:rPr>
        <w:t xml:space="preserve"> — broader industrial REITs and land-bank companies near Loudoun, Phoenix, Dallas, Hillsboro, Atlanta (Prologis tangential, Lineage, Tract)</w:t>
      </w:r>
    </w:p>
    <w:p>
      <w:pPr>
        <w:pStyle w:val="ListParagraph"/>
        <w:numPr>
          <w:ilvl w:val="0"/>
          <w:numId w:val="2"/>
        </w:numPr>
        <w:spacing w:after="40" w:before="40" w:line="280"/>
      </w:pPr>
      <w:r>
        <w:rPr>
          <w:rFonts w:ascii="Arial" w:cs="Arial" w:eastAsia="Arial" w:hAnsi="Arial"/>
          <w:b/>
          <w:bCs/>
          <w:i w:val="false"/>
          <w:iCs w:val="false"/>
          <w:color w:val="1F2937"/>
          <w:sz w:val="20"/>
          <w:szCs w:val="20"/>
        </w:rPr>
        <w:t xml:space="preserve">GPU asset owners and AI infrastructure financiers</w:t>
      </w:r>
      <w:r>
        <w:rPr>
          <w:rFonts w:ascii="Arial" w:cs="Arial" w:eastAsia="Arial" w:hAnsi="Arial"/>
          <w:b w:val="false"/>
          <w:bCs w:val="false"/>
          <w:i w:val="false"/>
          <w:iCs w:val="false"/>
          <w:color w:val="1F2937"/>
          <w:sz w:val="20"/>
          <w:szCs w:val="20"/>
        </w:rPr>
        <w:t xml:space="preserve"> — entities that own GPU hardware directly or finance it through bespoke structures (CoreWeave's GPU portfolio, Blackstone's $25B GPU financing JV, Apollo, KKR DC funds, asset-backed GPU lenders)</w:t>
      </w:r>
    </w:p>
    <w:p>
      <w:pPr>
        <w:pStyle w:val="Heading3"/>
        <w:spacing w:after="120" w:before="280"/>
      </w:pPr>
      <w:r>
        <w:rPr>
          <w:rFonts w:ascii="Arial" w:cs="Arial" w:eastAsia="Arial" w:hAnsi="Arial"/>
          <w:b/>
          <w:bCs/>
          <w:color w:val="2563EB"/>
          <w:sz w:val="24"/>
          <w:szCs w:val="24"/>
        </w:rPr>
        <w:t xml:space="preserve">How tiering is applied</w:t>
      </w:r>
    </w:p>
    <w:p>
      <w:pPr>
        <w:spacing w:after="60" w:before="60" w:line="300"/>
        <w:jc w:val="left"/>
      </w:pPr>
      <w:r>
        <w:rPr>
          <w:rFonts w:ascii="Arial" w:cs="Arial" w:eastAsia="Arial" w:hAnsi="Arial"/>
          <w:b w:val="false"/>
          <w:bCs w:val="false"/>
          <w:i w:val="false"/>
          <w:iCs w:val="false"/>
          <w:color w:val="1F2937"/>
          <w:sz w:val="20"/>
          <w:szCs w:val="20"/>
        </w:rPr>
        <w:t xml:space="preserve">Each US name is classified by whether and how it made money on the data center theme, using the same A/A*/B/C/Private framework applied earlier in the engagement:</w:t>
      </w:r>
    </w:p>
    <w:p>
      <w:pPr>
        <w:pStyle w:val="ListParagraph"/>
        <w:numPr>
          <w:ilvl w:val="0"/>
          <w:numId w:val="2"/>
        </w:numPr>
        <w:spacing w:after="40" w:before="40" w:line="280"/>
      </w:pPr>
      <w:r>
        <w:rPr>
          <w:rFonts w:ascii="Arial" w:cs="Arial" w:eastAsia="Arial" w:hAnsi="Arial"/>
          <w:b/>
          <w:bCs/>
          <w:i w:val="false"/>
          <w:iCs w:val="false"/>
          <w:color w:val="1F2937"/>
          <w:sz w:val="20"/>
          <w:szCs w:val="20"/>
        </w:rPr>
        <w:t xml:space="preserve">Tier A — Already run</w:t>
      </w:r>
      <w:r>
        <w:rPr>
          <w:rFonts w:ascii="Arial" w:cs="Arial" w:eastAsia="Arial" w:hAnsi="Arial"/>
          <w:b w:val="false"/>
          <w:bCs w:val="false"/>
          <w:i w:val="false"/>
          <w:iCs w:val="false"/>
          <w:color w:val="1F2937"/>
          <w:sz w:val="20"/>
          <w:szCs w:val="20"/>
        </w:rPr>
        <w:t xml:space="preserve">: stock approximately 3x or more from 2023 lows with a clear data-center-attribution trail</w:t>
      </w:r>
    </w:p>
    <w:p>
      <w:pPr>
        <w:pStyle w:val="ListParagraph"/>
        <w:numPr>
          <w:ilvl w:val="0"/>
          <w:numId w:val="2"/>
        </w:numPr>
        <w:spacing w:after="40" w:before="40" w:line="280"/>
      </w:pPr>
      <w:r>
        <w:rPr>
          <w:rFonts w:ascii="Arial" w:cs="Arial" w:eastAsia="Arial" w:hAnsi="Arial"/>
          <w:b/>
          <w:bCs/>
          <w:i w:val="false"/>
          <w:iCs w:val="false"/>
          <w:color w:val="1F2937"/>
          <w:sz w:val="20"/>
          <w:szCs w:val="20"/>
        </w:rPr>
        <w:t xml:space="preserve">Tier A* — Ran and partially reversed</w:t>
      </w:r>
      <w:r>
        <w:rPr>
          <w:rFonts w:ascii="Arial" w:cs="Arial" w:eastAsia="Arial" w:hAnsi="Arial"/>
          <w:b w:val="false"/>
          <w:bCs w:val="false"/>
          <w:i w:val="false"/>
          <w:iCs w:val="false"/>
          <w:color w:val="1F2937"/>
          <w:sz w:val="20"/>
          <w:szCs w:val="20"/>
        </w:rPr>
        <w:t xml:space="preserve">: rallied 3x plus but subsequently corrected (Super Micro post the Hindenburg short)</w:t>
      </w:r>
    </w:p>
    <w:p>
      <w:pPr>
        <w:pStyle w:val="ListParagraph"/>
        <w:numPr>
          <w:ilvl w:val="0"/>
          <w:numId w:val="2"/>
        </w:numPr>
        <w:spacing w:after="40" w:before="40" w:line="280"/>
      </w:pPr>
      <w:r>
        <w:rPr>
          <w:rFonts w:ascii="Arial" w:cs="Arial" w:eastAsia="Arial" w:hAnsi="Arial"/>
          <w:b/>
          <w:bCs/>
          <w:i w:val="false"/>
          <w:iCs w:val="false"/>
          <w:color w:val="1F2937"/>
          <w:sz w:val="20"/>
          <w:szCs w:val="20"/>
        </w:rPr>
        <w:t xml:space="preserve">Tier B — Picking up</w:t>
      </w:r>
      <w:r>
        <w:rPr>
          <w:rFonts w:ascii="Arial" w:cs="Arial" w:eastAsia="Arial" w:hAnsi="Arial"/>
          <w:b w:val="false"/>
          <w:bCs w:val="false"/>
          <w:i w:val="false"/>
          <w:iCs w:val="false"/>
          <w:color w:val="1F2937"/>
          <w:sz w:val="20"/>
          <w:szCs w:val="20"/>
        </w:rPr>
        <w:t xml:space="preserve">: material rerate underway (1.5x to 2.5x), order book or contracted revenue inflecting</w:t>
      </w:r>
    </w:p>
    <w:p>
      <w:pPr>
        <w:pStyle w:val="ListParagraph"/>
        <w:numPr>
          <w:ilvl w:val="0"/>
          <w:numId w:val="2"/>
        </w:numPr>
        <w:spacing w:after="40" w:before="40" w:line="280"/>
      </w:pPr>
      <w:r>
        <w:rPr>
          <w:rFonts w:ascii="Arial" w:cs="Arial" w:eastAsia="Arial" w:hAnsi="Arial"/>
          <w:b/>
          <w:bCs/>
          <w:i w:val="false"/>
          <w:iCs w:val="false"/>
          <w:color w:val="1F2937"/>
          <w:sz w:val="20"/>
          <w:szCs w:val="20"/>
        </w:rPr>
        <w:t xml:space="preserve">Tier C — Yet to be discovered</w:t>
      </w:r>
      <w:r>
        <w:rPr>
          <w:rFonts w:ascii="Arial" w:cs="Arial" w:eastAsia="Arial" w:hAnsi="Arial"/>
          <w:b w:val="false"/>
          <w:bCs w:val="false"/>
          <w:i w:val="false"/>
          <w:iCs w:val="false"/>
          <w:color w:val="1F2937"/>
          <w:sz w:val="20"/>
          <w:szCs w:val="20"/>
        </w:rPr>
        <w:t xml:space="preserve">: real asset-owner exposure but stock flat or broken, no narrative price-in</w:t>
      </w:r>
    </w:p>
    <w:p>
      <w:pPr>
        <w:pStyle w:val="ListParagraph"/>
        <w:numPr>
          <w:ilvl w:val="0"/>
          <w:numId w:val="2"/>
        </w:numPr>
        <w:spacing w:after="40" w:before="40" w:line="280"/>
      </w:pPr>
      <w:r>
        <w:rPr>
          <w:rFonts w:ascii="Arial" w:cs="Arial" w:eastAsia="Arial" w:hAnsi="Arial"/>
          <w:b/>
          <w:bCs/>
          <w:i w:val="false"/>
          <w:iCs w:val="false"/>
          <w:color w:val="1F2937"/>
          <w:sz w:val="20"/>
          <w:szCs w:val="20"/>
        </w:rPr>
        <w:t xml:space="preserve">Private</w:t>
      </w:r>
      <w:r>
        <w:rPr>
          <w:rFonts w:ascii="Arial" w:cs="Arial" w:eastAsia="Arial" w:hAnsi="Arial"/>
          <w:b w:val="false"/>
          <w:bCs w:val="false"/>
          <w:i w:val="false"/>
          <w:iCs w:val="false"/>
          <w:color w:val="1F2937"/>
          <w:sz w:val="20"/>
          <w:szCs w:val="20"/>
        </w:rPr>
        <w:t xml:space="preserve">: not directly investable but catalyst markers for the listed cohort</w:t>
      </w:r>
    </w:p>
    <w:p>
      <w:pPr>
        <w:pStyle w:val="Heading3"/>
        <w:spacing w:after="120" w:before="280"/>
      </w:pPr>
      <w:r>
        <w:rPr>
          <w:rFonts w:ascii="Arial" w:cs="Arial" w:eastAsia="Arial" w:hAnsi="Arial"/>
          <w:b/>
          <w:bCs/>
          <w:color w:val="2563EB"/>
          <w:sz w:val="24"/>
          <w:szCs w:val="24"/>
        </w:rPr>
        <w:t xml:space="preserve">Data cutoff and caveats</w:t>
      </w:r>
    </w:p>
    <w:p>
      <w:pPr>
        <w:spacing w:after="60" w:before="60" w:line="300"/>
        <w:jc w:val="left"/>
      </w:pPr>
      <w:r>
        <w:rPr>
          <w:rFonts w:ascii="Arial" w:cs="Arial" w:eastAsia="Arial" w:hAnsi="Arial"/>
          <w:b w:val="false"/>
          <w:bCs w:val="false"/>
          <w:i w:val="false"/>
          <w:iCs w:val="false"/>
          <w:color w:val="1F2937"/>
          <w:sz w:val="20"/>
          <w:szCs w:val="20"/>
        </w:rPr>
        <w:t xml:space="preserve">All figures reflect public disclosures and market data available through January 2026. Stock-move ranges are approximate directional indications from 2023 lows; pull live for client deliverables. The report does not constitute investment advice; tiering is a research framework and not a buy or sell signal.</w:t>
      </w:r>
    </w:p>
    <w:p>
      <w:r>
        <w:br w:type="page"/>
      </w:r>
    </w:p>
    <w:p>
      <w:pPr>
        <w:pStyle w:val="Heading1"/>
        <w:spacing w:after="200" w:before="480"/>
      </w:pPr>
      <w:r>
        <w:rPr>
          <w:rFonts w:ascii="Arial" w:cs="Arial" w:eastAsia="Arial" w:hAnsi="Arial"/>
          <w:b/>
          <w:bCs/>
          <w:color w:val="1F2937"/>
          <w:sz w:val="36"/>
          <w:szCs w:val="36"/>
        </w:rPr>
        <w:t xml:space="preserve">2. US asset-owner segments — exhaustive breakdown</w:t>
      </w:r>
    </w:p>
    <w:p>
      <w:pPr>
        <w:pStyle w:val="Heading2"/>
        <w:spacing w:after="160" w:before="360"/>
      </w:pPr>
      <w:r>
        <w:rPr>
          <w:rFonts w:ascii="Arial" w:cs="Arial" w:eastAsia="Arial" w:hAnsi="Arial"/>
          <w:b/>
          <w:bCs/>
          <w:color w:val="1F2937"/>
          <w:sz w:val="28"/>
          <w:szCs w:val="28"/>
        </w:rPr>
        <w:t xml:space="preserve">2.1 Hyperscale data center operators (self-build)</w:t>
      </w:r>
    </w:p>
    <w:p>
      <w:pPr>
        <w:spacing w:after="60" w:before="60" w:line="300"/>
        <w:jc w:val="left"/>
      </w:pPr>
      <w:r>
        <w:rPr>
          <w:rFonts w:ascii="Arial" w:cs="Arial" w:eastAsia="Arial" w:hAnsi="Arial"/>
          <w:b w:val="false"/>
          <w:bCs w:val="false"/>
          <w:i w:val="false"/>
          <w:iCs w:val="false"/>
          <w:color w:val="1F2937"/>
          <w:sz w:val="20"/>
          <w:szCs w:val="20"/>
        </w:rPr>
        <w:t xml:space="preserve">The hyperscalers are the upstream customer of the entire DC stack but also the largest asset owner in their own right. As of early 2026, the combined hyperscaler-owned DC footprint exceeds 35 GW globally, with capacity additions of 8-10 GW per year on a 2025-2026 run-rate. These are not real-estate-style returns; the DCs are an internal capability that supports cloud, ads, and AI revenue.</w:t>
      </w:r>
    </w:p>
    <w:p>
      <w:pPr>
        <w:spacing w:after="100" w:before="200"/>
      </w:pPr>
      <w:r>
        <w:rPr>
          <w:rFonts w:ascii="Arial" w:cs="Arial" w:eastAsia="Arial" w:hAnsi="Arial"/>
          <w:b/>
          <w:bCs/>
          <w:color w:val="1F2937"/>
          <w:sz w:val="22"/>
          <w:szCs w:val="22"/>
        </w:rPr>
        <w:t xml:space="preserve">Mechanism by which they monetized the asset</w:t>
      </w:r>
    </w:p>
    <w:p>
      <w:pPr>
        <w:spacing w:after="60" w:before="60" w:line="300"/>
        <w:jc w:val="left"/>
      </w:pPr>
      <w:r>
        <w:rPr>
          <w:rFonts w:ascii="Arial" w:cs="Arial" w:eastAsia="Arial" w:hAnsi="Arial"/>
          <w:b w:val="false"/>
          <w:bCs w:val="false"/>
          <w:i w:val="false"/>
          <w:iCs w:val="false"/>
          <w:color w:val="1F2937"/>
          <w:sz w:val="20"/>
          <w:szCs w:val="20"/>
        </w:rPr>
        <w:t xml:space="preserve">Hyperscalers do not generally lease their owned DCs to third parties. The asset earns its return by supporting cloud-services revenue (AWS, Azure, GCP), AI services, and proprietary AI training. The relevant metric for an investor is not occupancy or rent — it is cloud revenue growth multiplied by the implicit return on installed capacity.</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1100"/>
        <w:gridCol w:w="2000"/>
        <w:gridCol w:w="2080"/>
        <w:gridCol w:w="2500"/>
      </w:tblGrid>
      <w:tr>
        <w:trPr>
          <w:tblHeader/>
        </w:trPr>
        <w:tc>
          <w:tcPr>
            <w:tcW w:type="dxa" w:w="160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Company</w:t>
            </w:r>
          </w:p>
        </w:tc>
        <w:tc>
          <w:tcPr>
            <w:tcW w:type="dxa" w:w="80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Ticker</w:t>
            </w:r>
          </w:p>
        </w:tc>
        <w:tc>
          <w:tcPr>
            <w:tcW w:type="dxa" w:w="110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Tier</w:t>
            </w:r>
          </w:p>
        </w:tc>
        <w:tc>
          <w:tcPr>
            <w:tcW w:type="dxa" w:w="200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Owned DC footprint (approx)</w:t>
            </w:r>
          </w:p>
        </w:tc>
        <w:tc>
          <w:tcPr>
            <w:tcW w:type="dxa" w:w="208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DC capex 2024-25</w:t>
            </w:r>
          </w:p>
        </w:tc>
        <w:tc>
          <w:tcPr>
            <w:tcW w:type="dxa" w:w="250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Money-made mechanism</w:t>
            </w:r>
          </w:p>
        </w:tc>
      </w:tr>
      <w:tr>
        <w:tc>
          <w:tcPr>
            <w:tcW w:type="dxa" w:w="16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Microsoft</w:t>
            </w:r>
          </w:p>
        </w:tc>
        <w:tc>
          <w:tcPr>
            <w:tcW w:type="dxa" w:w="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MSFT</w:t>
            </w:r>
          </w:p>
        </w:tc>
        <w:tc>
          <w:tcPr>
            <w:tcW w:type="dxa" w:w="1100"/>
            <w:tcBorders>
              <w:top w:val="single" w:color="D1D5DB" w:sz="4"/>
              <w:left w:val="single" w:color="D1D5DB" w:sz="4"/>
              <w:bottom w:val="single" w:color="D1D5DB" w:sz="4"/>
              <w:right w:val="single" w:color="D1D5DB" w:sz="4"/>
            </w:tcBorders>
            <w:shd w:fill="FEF3C7"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B · Picking up</w:t>
            </w:r>
          </w:p>
        </w:tc>
        <w:tc>
          <w:tcPr>
            <w:tcW w:type="dxa" w:w="20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300+ DCs, ~5 GW owned + leased</w:t>
            </w:r>
          </w:p>
        </w:tc>
        <w:tc>
          <w:tcPr>
            <w:tcW w:type="dxa" w:w="20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~$80B FY25 → ~$100B FY26 guide</w:t>
            </w:r>
          </w:p>
        </w:tc>
        <w:tc>
          <w:tcPr>
            <w:tcW w:type="dxa" w:w="25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Azure AI revenue tied to OpenAI deployment; in-house DCs subsidize cost vs colo lease</w:t>
            </w:r>
          </w:p>
        </w:tc>
      </w:tr>
      <w:tr>
        <w:tc>
          <w:tcPr>
            <w:tcW w:type="dxa" w:w="16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Amazon (AWS)</w:t>
            </w:r>
          </w:p>
        </w:tc>
        <w:tc>
          <w:tcPr>
            <w:tcW w:type="dxa" w:w="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AMZN</w:t>
            </w:r>
          </w:p>
        </w:tc>
        <w:tc>
          <w:tcPr>
            <w:tcW w:type="dxa" w:w="11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A · Already run</w:t>
            </w:r>
          </w:p>
        </w:tc>
        <w:tc>
          <w:tcPr>
            <w:tcW w:type="dxa" w:w="20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120+ availability zones, ~7 GW est.</w:t>
            </w:r>
          </w:p>
        </w:tc>
        <w:tc>
          <w:tcPr>
            <w:tcW w:type="dxa" w:w="20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~$80B 2024 → ~$105B 2025 guide</w:t>
            </w:r>
          </w:p>
        </w:tc>
        <w:tc>
          <w:tcPr>
            <w:tcW w:type="dxa" w:w="25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AWS revenue inflected on Bedrock + Trainium adoption; Anthropic minority stake</w:t>
            </w:r>
          </w:p>
        </w:tc>
      </w:tr>
      <w:tr>
        <w:tc>
          <w:tcPr>
            <w:tcW w:type="dxa" w:w="16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Alphabet (Google)</w:t>
            </w:r>
          </w:p>
        </w:tc>
        <w:tc>
          <w:tcPr>
            <w:tcW w:type="dxa" w:w="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GOOG</w:t>
            </w:r>
          </w:p>
        </w:tc>
        <w:tc>
          <w:tcPr>
            <w:tcW w:type="dxa" w:w="1100"/>
            <w:tcBorders>
              <w:top w:val="single" w:color="D1D5DB" w:sz="4"/>
              <w:left w:val="single" w:color="D1D5DB" w:sz="4"/>
              <w:bottom w:val="single" w:color="D1D5DB" w:sz="4"/>
              <w:right w:val="single" w:color="D1D5DB" w:sz="4"/>
            </w:tcBorders>
            <w:shd w:fill="FEF3C7"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B · Picking up</w:t>
            </w:r>
          </w:p>
        </w:tc>
        <w:tc>
          <w:tcPr>
            <w:tcW w:type="dxa" w:w="20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35 regions, ~4 GW owned est.</w:t>
            </w:r>
          </w:p>
        </w:tc>
        <w:tc>
          <w:tcPr>
            <w:tcW w:type="dxa" w:w="20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~$50B 2024 → ~$75B 2025 guide</w:t>
            </w:r>
          </w:p>
        </w:tc>
        <w:tc>
          <w:tcPr>
            <w:tcW w:type="dxa" w:w="25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TPU-equipped DCs differentiate vs AWS/Azure on training cost</w:t>
            </w:r>
          </w:p>
        </w:tc>
      </w:tr>
      <w:tr>
        <w:tc>
          <w:tcPr>
            <w:tcW w:type="dxa" w:w="16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Meta Platforms</w:t>
            </w:r>
          </w:p>
        </w:tc>
        <w:tc>
          <w:tcPr>
            <w:tcW w:type="dxa" w:w="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META</w:t>
            </w:r>
          </w:p>
        </w:tc>
        <w:tc>
          <w:tcPr>
            <w:tcW w:type="dxa" w:w="11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A · Already run</w:t>
            </w:r>
          </w:p>
        </w:tc>
        <w:tc>
          <w:tcPr>
            <w:tcW w:type="dxa" w:w="20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25 owned DC campuses, ~3 GW</w:t>
            </w:r>
          </w:p>
        </w:tc>
        <w:tc>
          <w:tcPr>
            <w:tcW w:type="dxa" w:w="20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~$40B 2024 → ~$65B 2025 guide</w:t>
            </w:r>
          </w:p>
        </w:tc>
        <w:tc>
          <w:tcPr>
            <w:tcW w:type="dxa" w:w="25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Llama training + ad targeting; Hyperion 5 GW Louisiana campus</w:t>
            </w:r>
          </w:p>
        </w:tc>
      </w:tr>
      <w:tr>
        <w:tc>
          <w:tcPr>
            <w:tcW w:type="dxa" w:w="16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Oracle</w:t>
            </w:r>
          </w:p>
        </w:tc>
        <w:tc>
          <w:tcPr>
            <w:tcW w:type="dxa" w:w="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ORCL</w:t>
            </w:r>
          </w:p>
        </w:tc>
        <w:tc>
          <w:tcPr>
            <w:tcW w:type="dxa" w:w="11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A · Already run</w:t>
            </w:r>
          </w:p>
        </w:tc>
        <w:tc>
          <w:tcPr>
            <w:tcW w:type="dxa" w:w="20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60+ OCI regions, ~1.5 GW est.</w:t>
            </w:r>
          </w:p>
        </w:tc>
        <w:tc>
          <w:tcPr>
            <w:tcW w:type="dxa" w:w="20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~$25B 2025 → ~$40B 2026 guide</w:t>
            </w:r>
          </w:p>
        </w:tc>
        <w:tc>
          <w:tcPr>
            <w:tcW w:type="dxa" w:w="25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Stargate venture with OpenAI + SoftBank; OCI multi-cloud wins</w:t>
            </w:r>
          </w:p>
        </w:tc>
      </w:tr>
      <w:tr>
        <w:tc>
          <w:tcPr>
            <w:tcW w:type="dxa" w:w="16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Apple</w:t>
            </w:r>
          </w:p>
        </w:tc>
        <w:tc>
          <w:tcPr>
            <w:tcW w:type="dxa" w:w="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AAPL</w:t>
            </w:r>
          </w:p>
        </w:tc>
        <w:tc>
          <w:tcPr>
            <w:tcW w:type="dxa" w:w="1100"/>
            <w:tcBorders>
              <w:top w:val="single" w:color="D1D5DB" w:sz="4"/>
              <w:left w:val="single" w:color="D1D5DB" w:sz="4"/>
              <w:bottom w:val="single" w:color="D1D5DB" w:sz="4"/>
              <w:right w:val="single" w:color="D1D5DB" w:sz="4"/>
            </w:tcBorders>
            <w:shd w:fill="D1FAE5"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C · No DC alpha</w:t>
            </w:r>
          </w:p>
        </w:tc>
        <w:tc>
          <w:tcPr>
            <w:tcW w:type="dxa" w:w="20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Limited owned DCs; uses third-party heavily</w:t>
            </w:r>
          </w:p>
        </w:tc>
        <w:tc>
          <w:tcPr>
            <w:tcW w:type="dxa" w:w="20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Capex not DC-led</w:t>
            </w:r>
          </w:p>
        </w:tc>
        <w:tc>
          <w:tcPr>
            <w:tcW w:type="dxa" w:w="25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Apple Intelligence runs on-device; minimal DC story</w:t>
            </w:r>
          </w:p>
        </w:tc>
      </w:tr>
    </w:tbl>
    <w:p>
      <w:pPr>
        <w:spacing w:after="0" w:before="120"/>
      </w:pPr>
    </w:p>
    <w:p>
      <w:pPr>
        <w:spacing w:after="100" w:before="200"/>
      </w:pPr>
      <w:r>
        <w:rPr>
          <w:rFonts w:ascii="Arial" w:cs="Arial" w:eastAsia="Arial" w:hAnsi="Arial"/>
          <w:b/>
          <w:bCs/>
          <w:color w:val="1F2937"/>
          <w:sz w:val="22"/>
          <w:szCs w:val="22"/>
        </w:rPr>
        <w:t xml:space="preserve">Why the hyperscalers underperformed the merchant layer</w:t>
      </w:r>
    </w:p>
    <w:p>
      <w:pPr>
        <w:spacing w:after="60" w:before="60" w:line="300"/>
        <w:jc w:val="left"/>
      </w:pPr>
      <w:r>
        <w:rPr>
          <w:rFonts w:ascii="Arial" w:cs="Arial" w:eastAsia="Arial" w:hAnsi="Arial"/>
          <w:b w:val="false"/>
          <w:bCs w:val="false"/>
          <w:i w:val="false"/>
          <w:iCs w:val="false"/>
          <w:color w:val="1F2937"/>
          <w:sz w:val="20"/>
          <w:szCs w:val="20"/>
        </w:rPr>
        <w:t xml:space="preserve">This is the most important pattern in the entire stack. The hyperscalers spent the most money on data centers and made the least share-price alpha attributable to data centers specifically. Microsoft, Google, Amazon, Apple, and Meta combined for over $250 billion of DC capex in 2024-25. None of them rerated 3x. The reason is that for each of them, AI and DC capex is one capital line among many — they trade as broad-market mega-caps, not as DC plays. Investors price them on revenue-segment performance (Azure, AWS, Google Cloud) rather than on DC asset value. The DC asset is treated as a cost of doing business, not a value driver.</w:t>
      </w:r>
    </w:p>
    <w:p>
      <w:pPr>
        <w:spacing w:after="60" w:before="60" w:line="300"/>
        <w:jc w:val="left"/>
      </w:pPr>
      <w:r>
        <w:rPr>
          <w:rFonts w:ascii="Arial" w:cs="Arial" w:eastAsia="Arial" w:hAnsi="Arial"/>
          <w:b w:val="false"/>
          <w:bCs w:val="false"/>
          <w:i w:val="false"/>
          <w:iCs w:val="false"/>
          <w:color w:val="1F2937"/>
          <w:sz w:val="20"/>
          <w:szCs w:val="20"/>
        </w:rPr>
        <w:t xml:space="preserve">This contrasts sharply with the pure-play merchant generators and the neocloud cohort, which trade explicitly on installed capacity and on contracted GPU hours. The market has not learned to value hyperscaler DCs as separately accretive infrastructure assets because the hyperscalers themselves do not report them as such.</w:t>
      </w:r>
    </w:p>
    <w:p>
      <w:pPr>
        <w:pStyle w:val="Heading2"/>
        <w:spacing w:after="160" w:before="360"/>
      </w:pPr>
      <w:r>
        <w:rPr>
          <w:rFonts w:ascii="Arial" w:cs="Arial" w:eastAsia="Arial" w:hAnsi="Arial"/>
          <w:b/>
          <w:bCs/>
          <w:color w:val="1F2937"/>
          <w:sz w:val="28"/>
          <w:szCs w:val="28"/>
        </w:rPr>
        <w:t xml:space="preserve">2.2 Wholesale colocation REITs and operators</w:t>
      </w:r>
    </w:p>
    <w:p>
      <w:pPr>
        <w:spacing w:after="60" w:before="60" w:line="300"/>
        <w:jc w:val="left"/>
      </w:pPr>
      <w:r>
        <w:rPr>
          <w:rFonts w:ascii="Arial" w:cs="Arial" w:eastAsia="Arial" w:hAnsi="Arial"/>
          <w:b w:val="false"/>
          <w:bCs w:val="false"/>
          <w:i w:val="false"/>
          <w:iCs w:val="false"/>
          <w:color w:val="1F2937"/>
          <w:sz w:val="20"/>
          <w:szCs w:val="20"/>
        </w:rPr>
        <w:t xml:space="preserve">Wholesale colocation operators lease entire data halls, megawatt blocks, or full buildings to hyperscalers and large enterprises on 10-15 year contracts. The asset is a building with power and cooling; the operator does not provide computing or networking services. Revenue is rent. Two listed names dominate (Digital Realty and Equinix on the wholesale side); a third (Iron Mountain) is a partial entrant; the others are private and held by infrastructure funds.</w:t>
      </w:r>
    </w:p>
    <w:p>
      <w:pPr>
        <w:spacing w:after="100" w:before="200"/>
      </w:pPr>
      <w:r>
        <w:rPr>
          <w:rFonts w:ascii="Arial" w:cs="Arial" w:eastAsia="Arial" w:hAnsi="Arial"/>
          <w:b/>
          <w:bCs/>
          <w:color w:val="1F2937"/>
          <w:sz w:val="22"/>
          <w:szCs w:val="22"/>
        </w:rPr>
        <w:t xml:space="preserve">Mechanism by which they monetized the asset</w:t>
      </w:r>
    </w:p>
    <w:p>
      <w:pPr>
        <w:spacing w:after="60" w:before="60" w:line="300"/>
        <w:jc w:val="left"/>
      </w:pPr>
      <w:r>
        <w:rPr>
          <w:rFonts w:ascii="Arial" w:cs="Arial" w:eastAsia="Arial" w:hAnsi="Arial"/>
          <w:b w:val="false"/>
          <w:bCs w:val="false"/>
          <w:i w:val="false"/>
          <w:iCs w:val="false"/>
          <w:color w:val="1F2937"/>
          <w:sz w:val="20"/>
          <w:szCs w:val="20"/>
        </w:rPr>
        <w:t xml:space="preserve">Wholesale DC REITs sign hyperscaler PPAs lookalikes — large, multi-decade, take-or-pay style leases at predictable per-kW pricing. The asset earns its rerate through three channels: occupancy moving above 95%, lease rate hikes on renewals (15-30% mark-ups happening in 2024-25 due to power scarcity in major markets), and development pipeline coming online. The catch: capex requirements ballooned in 2024 because power costs rose, equipment lead times stretched, and land in DC clusters became prohibitive.</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1200"/>
        <w:gridCol w:w="1900"/>
        <w:gridCol w:w="2080"/>
        <w:gridCol w:w="2400"/>
      </w:tblGrid>
      <w:tr>
        <w:trPr>
          <w:tblHeader/>
        </w:trPr>
        <w:tc>
          <w:tcPr>
            <w:tcW w:type="dxa" w:w="170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Company</w:t>
            </w:r>
          </w:p>
        </w:tc>
        <w:tc>
          <w:tcPr>
            <w:tcW w:type="dxa" w:w="80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Ticker</w:t>
            </w:r>
          </w:p>
        </w:tc>
        <w:tc>
          <w:tcPr>
            <w:tcW w:type="dxa" w:w="120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Tier</w:t>
            </w:r>
          </w:p>
        </w:tc>
        <w:tc>
          <w:tcPr>
            <w:tcW w:type="dxa" w:w="190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Footprint</w:t>
            </w:r>
          </w:p>
        </w:tc>
        <w:tc>
          <w:tcPr>
            <w:tcW w:type="dxa" w:w="208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Hyperscaler dependency</w:t>
            </w:r>
          </w:p>
        </w:tc>
        <w:tc>
          <w:tcPr>
            <w:tcW w:type="dxa" w:w="240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Why result was what it was</w:t>
            </w:r>
          </w:p>
        </w:tc>
      </w:tr>
      <w:tr>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Digital Realty Trust</w:t>
            </w:r>
          </w:p>
        </w:tc>
        <w:tc>
          <w:tcPr>
            <w:tcW w:type="dxa" w:w="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DLR</w:t>
            </w:r>
          </w:p>
        </w:tc>
        <w:tc>
          <w:tcPr>
            <w:tcW w:type="dxa" w:w="1200"/>
            <w:tcBorders>
              <w:top w:val="single" w:color="D1D5DB" w:sz="4"/>
              <w:left w:val="single" w:color="D1D5DB" w:sz="4"/>
              <w:bottom w:val="single" w:color="D1D5DB" w:sz="4"/>
              <w:right w:val="single" w:color="D1D5DB" w:sz="4"/>
            </w:tcBorders>
            <w:shd w:fill="FEF3C7"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B · Picking up</w:t>
            </w:r>
          </w:p>
        </w:tc>
        <w:tc>
          <w:tcPr>
            <w:tcW w:type="dxa" w:w="1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300+ DCs in 25 countries, ~3 GW</w:t>
            </w:r>
          </w:p>
        </w:tc>
        <w:tc>
          <w:tcPr>
            <w:tcW w:type="dxa" w:w="20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Top 20 customers ~50% of revenue</w:t>
            </w:r>
          </w:p>
        </w:tc>
        <w:tc>
          <w:tcPr>
            <w:tcW w:type="dxa" w:w="24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Big REIT with diversified book; benefited from rent mark-ups but capex weight limited rerate to ~1.6x</w:t>
            </w:r>
          </w:p>
        </w:tc>
      </w:tr>
      <w:tr>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Equinix</w:t>
            </w:r>
          </w:p>
        </w:tc>
        <w:tc>
          <w:tcPr>
            <w:tcW w:type="dxa" w:w="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EQIX</w:t>
            </w:r>
          </w:p>
        </w:tc>
        <w:tc>
          <w:tcPr>
            <w:tcW w:type="dxa" w:w="1200"/>
            <w:tcBorders>
              <w:top w:val="single" w:color="D1D5DB" w:sz="4"/>
              <w:left w:val="single" w:color="D1D5DB" w:sz="4"/>
              <w:bottom w:val="single" w:color="D1D5DB" w:sz="4"/>
              <w:right w:val="single" w:color="D1D5DB" w:sz="4"/>
            </w:tcBorders>
            <w:shd w:fill="FEF3C7"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B · Picking up</w:t>
            </w:r>
          </w:p>
        </w:tc>
        <w:tc>
          <w:tcPr>
            <w:tcW w:type="dxa" w:w="1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260+ IBXs, ~70+ metros</w:t>
            </w:r>
          </w:p>
        </w:tc>
        <w:tc>
          <w:tcPr>
            <w:tcW w:type="dxa" w:w="20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Retail mix higher; less concentrated</w:t>
            </w:r>
          </w:p>
        </w:tc>
        <w:tc>
          <w:tcPr>
            <w:tcW w:type="dxa" w:w="24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Interconnection moat (xScale wholesale + retail); rallied less because the retail mix dampened upside</w:t>
            </w:r>
          </w:p>
        </w:tc>
      </w:tr>
      <w:tr>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Iron Mountain</w:t>
            </w:r>
          </w:p>
        </w:tc>
        <w:tc>
          <w:tcPr>
            <w:tcW w:type="dxa" w:w="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IRM</w:t>
            </w:r>
          </w:p>
        </w:tc>
        <w:tc>
          <w:tcPr>
            <w:tcW w:type="dxa" w:w="12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A · Already run</w:t>
            </w:r>
          </w:p>
        </w:tc>
        <w:tc>
          <w:tcPr>
            <w:tcW w:type="dxa" w:w="1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Records storage + acquired DC business via Frankfurt-DC, IO Data Center, Mag-tape adjacency</w:t>
            </w:r>
          </w:p>
        </w:tc>
        <w:tc>
          <w:tcPr>
            <w:tcW w:type="dxa" w:w="20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Federal + enterprise heavy customer base</w:t>
            </w:r>
          </w:p>
        </w:tc>
        <w:tc>
          <w:tcPr>
            <w:tcW w:type="dxa" w:w="24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Stock rallied 3x+ as DC business grew from &lt;5% of revenue to ~15% with hyperscaler wins; classic mix-shift trade</w:t>
            </w:r>
          </w:p>
        </w:tc>
      </w:tr>
      <w:tr>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QTS Realty Trust</w:t>
            </w:r>
          </w:p>
        </w:tc>
        <w:tc>
          <w:tcPr>
            <w:tcW w:type="dxa" w:w="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iCs/>
                <w:color w:val="1F2937"/>
                <w:sz w:val="18"/>
                <w:szCs w:val="18"/>
              </w:rPr>
              <w:t xml:space="preserve">(pvt)</w:t>
            </w:r>
          </w:p>
        </w:tc>
        <w:tc>
          <w:tcPr>
            <w:tcW w:type="dxa" w:w="12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Private</w:t>
            </w:r>
          </w:p>
        </w:tc>
        <w:tc>
          <w:tcPr>
            <w:tcW w:type="dxa" w:w="1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~30 mega DCs, ~1.5 GW</w:t>
            </w:r>
          </w:p>
        </w:tc>
        <w:tc>
          <w:tcPr>
            <w:tcW w:type="dxa" w:w="20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100% hyperscale wholesale</w:t>
            </w:r>
          </w:p>
        </w:tc>
        <w:tc>
          <w:tcPr>
            <w:tcW w:type="dxa" w:w="24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Acquired by Blackstone Aug 2021 for $10B; example of the asset class being chased by infra capital ahead of the run</w:t>
            </w:r>
          </w:p>
        </w:tc>
      </w:tr>
      <w:tr>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CyrusOne</w:t>
            </w:r>
          </w:p>
        </w:tc>
        <w:tc>
          <w:tcPr>
            <w:tcW w:type="dxa" w:w="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iCs/>
                <w:color w:val="1F2937"/>
                <w:sz w:val="18"/>
                <w:szCs w:val="18"/>
              </w:rPr>
              <w:t xml:space="preserve">(pvt)</w:t>
            </w:r>
          </w:p>
        </w:tc>
        <w:tc>
          <w:tcPr>
            <w:tcW w:type="dxa" w:w="12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Private</w:t>
            </w:r>
          </w:p>
        </w:tc>
        <w:tc>
          <w:tcPr>
            <w:tcW w:type="dxa" w:w="1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~50 DCs across US + Europe</w:t>
            </w:r>
          </w:p>
        </w:tc>
        <w:tc>
          <w:tcPr>
            <w:tcW w:type="dxa" w:w="20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Heavy hyperscale</w:t>
            </w:r>
          </w:p>
        </w:tc>
        <w:tc>
          <w:tcPr>
            <w:tcW w:type="dxa" w:w="24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Acquired by KKR + Global Infrastructure Partners 2022 for $15B; another delisting before the rerate</w:t>
            </w:r>
          </w:p>
        </w:tc>
      </w:tr>
      <w:tr>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Aligned Data Centers</w:t>
            </w:r>
          </w:p>
        </w:tc>
        <w:tc>
          <w:tcPr>
            <w:tcW w:type="dxa" w:w="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iCs/>
                <w:color w:val="1F2937"/>
                <w:sz w:val="18"/>
                <w:szCs w:val="18"/>
              </w:rPr>
              <w:t xml:space="preserve">(pvt)</w:t>
            </w:r>
          </w:p>
        </w:tc>
        <w:tc>
          <w:tcPr>
            <w:tcW w:type="dxa" w:w="12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Private</w:t>
            </w:r>
          </w:p>
        </w:tc>
        <w:tc>
          <w:tcPr>
            <w:tcW w:type="dxa" w:w="1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~6 mega-campuses, build pipeline</w:t>
            </w:r>
          </w:p>
        </w:tc>
        <w:tc>
          <w:tcPr>
            <w:tcW w:type="dxa" w:w="20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100% hyperscale</w:t>
            </w:r>
          </w:p>
        </w:tc>
        <w:tc>
          <w:tcPr>
            <w:tcW w:type="dxa" w:w="24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Backed by Macquarie; IPO pipeline 2026+; potential listed candidate</w:t>
            </w:r>
          </w:p>
        </w:tc>
      </w:tr>
      <w:tr>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Stack Infrastructure</w:t>
            </w:r>
          </w:p>
        </w:tc>
        <w:tc>
          <w:tcPr>
            <w:tcW w:type="dxa" w:w="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iCs/>
                <w:color w:val="1F2937"/>
                <w:sz w:val="18"/>
                <w:szCs w:val="18"/>
              </w:rPr>
              <w:t xml:space="preserve">(pvt)</w:t>
            </w:r>
          </w:p>
        </w:tc>
        <w:tc>
          <w:tcPr>
            <w:tcW w:type="dxa" w:w="12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Private</w:t>
            </w:r>
          </w:p>
        </w:tc>
        <w:tc>
          <w:tcPr>
            <w:tcW w:type="dxa" w:w="1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~20+ campuses US + EMEA</w:t>
            </w:r>
          </w:p>
        </w:tc>
        <w:tc>
          <w:tcPr>
            <w:tcW w:type="dxa" w:w="20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Hyperscale wholesale</w:t>
            </w:r>
          </w:p>
        </w:tc>
        <w:tc>
          <w:tcPr>
            <w:tcW w:type="dxa" w:w="24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IPI Partners portfolio; sold to Blue Owl + others 2024 at premium valuation</w:t>
            </w:r>
          </w:p>
        </w:tc>
      </w:tr>
      <w:tr>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Vantage Data Centers</w:t>
            </w:r>
          </w:p>
        </w:tc>
        <w:tc>
          <w:tcPr>
            <w:tcW w:type="dxa" w:w="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iCs/>
                <w:color w:val="1F2937"/>
                <w:sz w:val="18"/>
                <w:szCs w:val="18"/>
              </w:rPr>
              <w:t xml:space="preserve">(pvt)</w:t>
            </w:r>
          </w:p>
        </w:tc>
        <w:tc>
          <w:tcPr>
            <w:tcW w:type="dxa" w:w="12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Private</w:t>
            </w:r>
          </w:p>
        </w:tc>
        <w:tc>
          <w:tcPr>
            <w:tcW w:type="dxa" w:w="1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~30 DCs N. America + EMEA + APAC</w:t>
            </w:r>
          </w:p>
        </w:tc>
        <w:tc>
          <w:tcPr>
            <w:tcW w:type="dxa" w:w="20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Hyperscale wholesale</w:t>
            </w:r>
          </w:p>
        </w:tc>
        <w:tc>
          <w:tcPr>
            <w:tcW w:type="dxa" w:w="24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DigitalBridge-owned; IPO pipeline</w:t>
            </w:r>
          </w:p>
        </w:tc>
      </w:tr>
      <w:tr>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Compass Datacenters</w:t>
            </w:r>
          </w:p>
        </w:tc>
        <w:tc>
          <w:tcPr>
            <w:tcW w:type="dxa" w:w="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iCs/>
                <w:color w:val="1F2937"/>
                <w:sz w:val="18"/>
                <w:szCs w:val="18"/>
              </w:rPr>
              <w:t xml:space="preserve">(pvt)</w:t>
            </w:r>
          </w:p>
        </w:tc>
        <w:tc>
          <w:tcPr>
            <w:tcW w:type="dxa" w:w="12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Private</w:t>
            </w:r>
          </w:p>
        </w:tc>
        <w:tc>
          <w:tcPr>
            <w:tcW w:type="dxa" w:w="1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~15 mega-campuses US</w:t>
            </w:r>
          </w:p>
        </w:tc>
        <w:tc>
          <w:tcPr>
            <w:tcW w:type="dxa" w:w="20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Hyperscale wholesale</w:t>
            </w:r>
          </w:p>
        </w:tc>
        <w:tc>
          <w:tcPr>
            <w:tcW w:type="dxa" w:w="24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Brookfield, Ontario Teachers' backed; positioned for IPO</w:t>
            </w:r>
          </w:p>
        </w:tc>
      </w:tr>
    </w:tbl>
    <w:p>
      <w:pPr>
        <w:spacing w:after="0" w:before="120"/>
      </w:pPr>
    </w:p>
    <w:p>
      <w:pPr>
        <w:spacing w:after="60" w:before="60" w:line="300"/>
        <w:jc w:val="left"/>
      </w:pPr>
      <w:r>
        <w:rPr>
          <w:rFonts w:ascii="Arial" w:cs="Arial" w:eastAsia="Arial" w:hAnsi="Arial"/>
          <w:b w:val="false"/>
          <w:bCs w:val="false"/>
          <w:i w:val="false"/>
          <w:iCs w:val="false"/>
          <w:color w:val="1F2937"/>
          <w:sz w:val="20"/>
          <w:szCs w:val="20"/>
        </w:rPr>
        <w:t xml:space="preserve">The most striking takeaway here: the four largest US wholesale DC operators after Digital Realty (QTS, CyrusOne, Vantage, Aligned) were all taken private between 2021 and 2024, before the rerate. The infrastructure-fund cohort (Blackstone, KKR, DigitalBridge, Brookfield, GIP) recognized the asset class earlier than public markets did and rolled the assets off the listed universe. This created the artificial scarcity that drove Digital Realty and Equinix to outsize relevance — they are essentially the only listed pure-play wholesale DC names left.</w:t>
      </w:r>
    </w:p>
    <w:p>
      <w:pPr>
        <w:pStyle w:val="Heading2"/>
        <w:spacing w:after="160" w:before="360"/>
      </w:pPr>
      <w:r>
        <w:rPr>
          <w:rFonts w:ascii="Arial" w:cs="Arial" w:eastAsia="Arial" w:hAnsi="Arial"/>
          <w:b/>
          <w:bCs/>
          <w:color w:val="1F2937"/>
          <w:sz w:val="28"/>
          <w:szCs w:val="28"/>
        </w:rPr>
        <w:t xml:space="preserve">2.3 Retail colocation and interconnection</w:t>
      </w:r>
    </w:p>
    <w:p>
      <w:pPr>
        <w:spacing w:after="60" w:before="60" w:line="300"/>
        <w:jc w:val="left"/>
      </w:pPr>
      <w:r>
        <w:rPr>
          <w:rFonts w:ascii="Arial" w:cs="Arial" w:eastAsia="Arial" w:hAnsi="Arial"/>
          <w:b w:val="false"/>
          <w:bCs w:val="false"/>
          <w:i w:val="false"/>
          <w:iCs w:val="false"/>
          <w:color w:val="1F2937"/>
          <w:sz w:val="20"/>
          <w:szCs w:val="20"/>
        </w:rPr>
        <w:t xml:space="preserve">Retail colocation differs from wholesale in three ways: customers are enterprises rather than hyperscalers, contract sizes are kilowatts rather than megawatts, and the value-add is interconnection (the ability to physically cross-connect to other tenants and to cloud on-ramps). The interconnection layer is the moat — once an enterprise has multiple cross-connects in a building, it cannot easily move. Equinix is the dominant name; the rest of the listed retail colo space largely collapsed.</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1300"/>
        <w:gridCol w:w="6180"/>
      </w:tblGrid>
      <w:tr>
        <w:trPr>
          <w:tblHeader/>
        </w:trPr>
        <w:tc>
          <w:tcPr>
            <w:tcW w:type="dxa" w:w="170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Company</w:t>
            </w:r>
          </w:p>
        </w:tc>
        <w:tc>
          <w:tcPr>
            <w:tcW w:type="dxa" w:w="90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Ticker</w:t>
            </w:r>
          </w:p>
        </w:tc>
        <w:tc>
          <w:tcPr>
            <w:tcW w:type="dxa" w:w="130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Tier</w:t>
            </w:r>
          </w:p>
        </w:tc>
        <w:tc>
          <w:tcPr>
            <w:tcW w:type="dxa" w:w="618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Status and rationale</w:t>
            </w:r>
          </w:p>
        </w:tc>
      </w:tr>
      <w:tr>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Equinix (retail arm)</w:t>
            </w:r>
          </w:p>
        </w:tc>
        <w:tc>
          <w:tcPr>
            <w:tcW w:type="dxa" w:w="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EQIX</w:t>
            </w:r>
          </w:p>
        </w:tc>
        <w:tc>
          <w:tcPr>
            <w:tcW w:type="dxa" w:w="1300"/>
            <w:tcBorders>
              <w:top w:val="single" w:color="D1D5DB" w:sz="4"/>
              <w:left w:val="single" w:color="D1D5DB" w:sz="4"/>
              <w:bottom w:val="single" w:color="D1D5DB" w:sz="4"/>
              <w:right w:val="single" w:color="D1D5DB" w:sz="4"/>
            </w:tcBorders>
            <w:shd w:fill="FEF3C7"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B · Picking up</w:t>
            </w:r>
          </w:p>
        </w:tc>
        <w:tc>
          <w:tcPr>
            <w:tcW w:type="dxa" w:w="61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Interconnection moat = ~7,500 customers, ~470,000 cross-connects globally. The cross-connect revenue line grows faster than colocation revenue and at higher margins. Rallied ~1.5x because investors lumped EQIX with wholesale REITs and missed the structural connectivity moat.</w:t>
            </w:r>
          </w:p>
        </w:tc>
      </w:tr>
      <w:tr>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Cyxtera Technologies</w:t>
            </w:r>
          </w:p>
        </w:tc>
        <w:tc>
          <w:tcPr>
            <w:tcW w:type="dxa" w:w="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CYXT</w:t>
            </w:r>
          </w:p>
        </w:tc>
        <w:tc>
          <w:tcPr>
            <w:tcW w:type="dxa" w:w="1300"/>
            <w:tcBorders>
              <w:top w:val="single" w:color="D1D5DB" w:sz="4"/>
              <w:left w:val="single" w:color="D1D5DB" w:sz="4"/>
              <w:bottom w:val="single" w:color="D1D5DB" w:sz="4"/>
              <w:right w:val="single" w:color="D1D5DB" w:sz="4"/>
            </w:tcBorders>
            <w:shd w:fill="D1FAE5"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C · Bankrupt</w:t>
            </w:r>
          </w:p>
        </w:tc>
        <w:tc>
          <w:tcPr>
            <w:tcW w:type="dxa" w:w="61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Filed Chapter 11 June 2023, sold to Brookfield as Cologix. Example of a leveraged retail-colo roll-up that could not survive rising rates ahead of the rerate.</w:t>
            </w:r>
          </w:p>
        </w:tc>
      </w:tr>
      <w:tr>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Cologix</w:t>
            </w:r>
          </w:p>
        </w:tc>
        <w:tc>
          <w:tcPr>
            <w:tcW w:type="dxa" w:w="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iCs/>
                <w:color w:val="1F2937"/>
                <w:sz w:val="18"/>
                <w:szCs w:val="18"/>
              </w:rPr>
              <w:t xml:space="preserve">(pvt)</w:t>
            </w:r>
          </w:p>
        </w:tc>
        <w:tc>
          <w:tcPr>
            <w:tcW w:type="dxa" w:w="13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Private</w:t>
            </w:r>
          </w:p>
        </w:tc>
        <w:tc>
          <w:tcPr>
            <w:tcW w:type="dxa" w:w="61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Cyxtera asset rebuild; Stonepeak + Brookfield JV; Toronto/Montreal/Columbus retail colo footprint.</w:t>
            </w:r>
          </w:p>
        </w:tc>
      </w:tr>
      <w:tr>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DataBank</w:t>
            </w:r>
          </w:p>
        </w:tc>
        <w:tc>
          <w:tcPr>
            <w:tcW w:type="dxa" w:w="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iCs/>
                <w:color w:val="1F2937"/>
                <w:sz w:val="18"/>
                <w:szCs w:val="18"/>
              </w:rPr>
              <w:t xml:space="preserve">(pvt)</w:t>
            </w:r>
          </w:p>
        </w:tc>
        <w:tc>
          <w:tcPr>
            <w:tcW w:type="dxa" w:w="13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Private</w:t>
            </w:r>
          </w:p>
        </w:tc>
        <w:tc>
          <w:tcPr>
            <w:tcW w:type="dxa" w:w="61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DigitalBridge platform; 65+ DCs across US edge metros. The 'edge colo' analog.</w:t>
            </w:r>
          </w:p>
        </w:tc>
      </w:tr>
      <w:tr>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Flexential</w:t>
            </w:r>
          </w:p>
        </w:tc>
        <w:tc>
          <w:tcPr>
            <w:tcW w:type="dxa" w:w="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iCs/>
                <w:color w:val="1F2937"/>
                <w:sz w:val="18"/>
                <w:szCs w:val="18"/>
              </w:rPr>
              <w:t xml:space="preserve">(pvt)</w:t>
            </w:r>
          </w:p>
        </w:tc>
        <w:tc>
          <w:tcPr>
            <w:tcW w:type="dxa" w:w="13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Private</w:t>
            </w:r>
          </w:p>
        </w:tc>
        <w:tc>
          <w:tcPr>
            <w:tcW w:type="dxa" w:w="61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Morgan Stanley Infrastructure-backed retail colo; 40 DCs across 19 US markets.</w:t>
            </w:r>
          </w:p>
        </w:tc>
      </w:tr>
    </w:tbl>
    <w:p>
      <w:pPr>
        <w:spacing w:after="0" w:before="120"/>
      </w:pPr>
    </w:p>
    <w:p>
      <w:pPr>
        <w:spacing w:after="60" w:before="60" w:line="300"/>
        <w:jc w:val="left"/>
      </w:pPr>
      <w:r>
        <w:rPr>
          <w:rFonts w:ascii="Arial" w:cs="Arial" w:eastAsia="Arial" w:hAnsi="Arial"/>
          <w:b w:val="false"/>
          <w:bCs w:val="false"/>
          <w:i w:val="false"/>
          <w:iCs w:val="false"/>
          <w:color w:val="1F2937"/>
          <w:sz w:val="20"/>
          <w:szCs w:val="20"/>
        </w:rPr>
        <w:t xml:space="preserve">Retail colo is structurally a lower-beta segment than wholesale on the DC theme. Enterprise IT spend grew during the cycle but did not have the explosive AI training driver. As a result, the retail-only names did not rerate. Equinix's wholesale half (xScale JV) carried the relative outperformance.</w:t>
      </w:r>
    </w:p>
    <w:p>
      <w:r>
        <w:br w:type="page"/>
      </w:r>
    </w:p>
    <w:p>
      <w:pPr>
        <w:pStyle w:val="Heading2"/>
        <w:spacing w:after="160" w:before="360"/>
      </w:pPr>
      <w:r>
        <w:rPr>
          <w:rFonts w:ascii="Arial" w:cs="Arial" w:eastAsia="Arial" w:hAnsi="Arial"/>
          <w:b/>
          <w:bCs/>
          <w:color w:val="1F2937"/>
          <w:sz w:val="28"/>
          <w:szCs w:val="28"/>
        </w:rPr>
        <w:t xml:space="preserve">2.4 Neocloud and GPU-as-a-service operators</w:t>
      </w:r>
    </w:p>
    <w:p>
      <w:pPr>
        <w:spacing w:after="60" w:before="60" w:line="300"/>
        <w:jc w:val="left"/>
      </w:pPr>
      <w:r>
        <w:rPr>
          <w:rFonts w:ascii="Arial" w:cs="Arial" w:eastAsia="Arial" w:hAnsi="Arial"/>
          <w:b w:val="false"/>
          <w:bCs w:val="false"/>
          <w:i w:val="false"/>
          <w:iCs w:val="false"/>
          <w:color w:val="1F2937"/>
          <w:sz w:val="20"/>
          <w:szCs w:val="20"/>
        </w:rPr>
        <w:t xml:space="preserve">Neocloud refers to a new category of cloud provider that emerged 2023-25, defined by: GPU-centric infrastructure (typically NVIDIA H100 / H200 / B200), per-hour or reserved GPU pricing, customers in AI labs and AI-native enterprises, and capital structures that often combine GPU-asset-backed debt with venture equity. The category did not meaningfully exist before 2022. Today CoreWeave alone has surpassed $30 billion in committed contracted revenue.</w:t>
      </w:r>
    </w:p>
    <w:p>
      <w:pPr>
        <w:spacing w:after="100" w:before="200"/>
      </w:pPr>
      <w:r>
        <w:rPr>
          <w:rFonts w:ascii="Arial" w:cs="Arial" w:eastAsia="Arial" w:hAnsi="Arial"/>
          <w:b/>
          <w:bCs/>
          <w:color w:val="1F2937"/>
          <w:sz w:val="22"/>
          <w:szCs w:val="22"/>
        </w:rPr>
        <w:t xml:space="preserve">Mechanism by which they monetized the asset</w:t>
      </w:r>
    </w:p>
    <w:p>
      <w:pPr>
        <w:spacing w:after="60" w:before="60" w:line="300"/>
        <w:jc w:val="left"/>
      </w:pPr>
      <w:r>
        <w:rPr>
          <w:rFonts w:ascii="Arial" w:cs="Arial" w:eastAsia="Arial" w:hAnsi="Arial"/>
          <w:b w:val="false"/>
          <w:bCs w:val="false"/>
          <w:i w:val="false"/>
          <w:iCs w:val="false"/>
          <w:color w:val="1F2937"/>
          <w:sz w:val="20"/>
          <w:szCs w:val="20"/>
        </w:rPr>
        <w:t xml:space="preserve">Neocloud operators monetize on three axes simultaneously. First, the spread between GPU lease cost and GPU rental rate (initially 60-80% gross margins when GPUs were severely supply-constrained). Second, the implicit residual value of the GPU asset — at IPO CoreWeave argued the GPU has a 6-year useful life versus 3-year accounting depreciation. Third, the option value on additional contracted volume — CoreWeave's largest hyperscaler customer is Microsoft at ~62% of revenue, and the model scales with each new anchor tenant.</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300"/>
        <w:gridCol w:w="1800"/>
        <w:gridCol w:w="4280"/>
      </w:tblGrid>
      <w:tr>
        <w:trPr>
          <w:tblHeader/>
        </w:trPr>
        <w:tc>
          <w:tcPr>
            <w:tcW w:type="dxa" w:w="180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Company</w:t>
            </w:r>
          </w:p>
        </w:tc>
        <w:tc>
          <w:tcPr>
            <w:tcW w:type="dxa" w:w="90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Ticker</w:t>
            </w:r>
          </w:p>
        </w:tc>
        <w:tc>
          <w:tcPr>
            <w:tcW w:type="dxa" w:w="130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Tier</w:t>
            </w:r>
          </w:p>
        </w:tc>
        <w:tc>
          <w:tcPr>
            <w:tcW w:type="dxa" w:w="180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Customer mix</w:t>
            </w:r>
          </w:p>
        </w:tc>
        <w:tc>
          <w:tcPr>
            <w:tcW w:type="dxa" w:w="428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Money-made detail</w:t>
            </w:r>
          </w:p>
        </w:tc>
      </w:tr>
      <w:tr>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CoreWeave</w:t>
            </w:r>
          </w:p>
        </w:tc>
        <w:tc>
          <w:tcPr>
            <w:tcW w:type="dxa" w:w="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CRWV</w:t>
            </w:r>
          </w:p>
        </w:tc>
        <w:tc>
          <w:tcPr>
            <w:tcW w:type="dxa" w:w="13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A · Already run</w:t>
            </w:r>
          </w:p>
        </w:tc>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MSFT ~62%, OpenAI, Cohere, Meta</w:t>
            </w:r>
          </w:p>
        </w:tc>
        <w:tc>
          <w:tcPr>
            <w:tcW w:type="dxa" w:w="42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IPO Mar 2025 at $40, ran to $80+ within weeks. NVIDIA preferred-partner status; ~32 DCs operational; $7.5B GPU-backed debt from Blackstone; $11.9B OpenAI contract Mar 2025.</w:t>
            </w:r>
          </w:p>
        </w:tc>
      </w:tr>
      <w:tr>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IREN</w:t>
            </w:r>
          </w:p>
        </w:tc>
        <w:tc>
          <w:tcPr>
            <w:tcW w:type="dxa" w:w="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IREN</w:t>
            </w:r>
          </w:p>
        </w:tc>
        <w:tc>
          <w:tcPr>
            <w:tcW w:type="dxa" w:w="13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A · Already run</w:t>
            </w:r>
          </w:p>
        </w:tc>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Mix of BTC + AI hosting</w:t>
            </w:r>
          </w:p>
        </w:tc>
        <w:tc>
          <w:tcPr>
            <w:tcW w:type="dxa" w:w="42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Bitcoin miner that converted Childress, Texas capacity to AI-HPC hosting; partnership with Microsoft and Poolside; renewable-energy positioning differentiates</w:t>
            </w:r>
          </w:p>
        </w:tc>
      </w:tr>
      <w:tr>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Nebius Group</w:t>
            </w:r>
          </w:p>
        </w:tc>
        <w:tc>
          <w:tcPr>
            <w:tcW w:type="dxa" w:w="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NBIS</w:t>
            </w:r>
          </w:p>
        </w:tc>
        <w:tc>
          <w:tcPr>
            <w:tcW w:type="dxa" w:w="13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A · Already run</w:t>
            </w:r>
          </w:p>
        </w:tc>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European labs + Toloka labelling biz</w:t>
            </w:r>
          </w:p>
        </w:tc>
        <w:tc>
          <w:tcPr>
            <w:tcW w:type="dxa" w:w="42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Spun from Yandex Aug 2024; ~22,000 H100s deployed in Finland; pivot from Russian cloud to European AI cloud is the clean-slate trade</w:t>
            </w:r>
          </w:p>
        </w:tc>
      </w:tr>
      <w:tr>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Applied Digital</w:t>
            </w:r>
          </w:p>
        </w:tc>
        <w:tc>
          <w:tcPr>
            <w:tcW w:type="dxa" w:w="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APLD</w:t>
            </w:r>
          </w:p>
        </w:tc>
        <w:tc>
          <w:tcPr>
            <w:tcW w:type="dxa" w:w="13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A · Already run</w:t>
            </w:r>
          </w:p>
        </w:tc>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CoreWeave anchor tenant N. Dakota</w:t>
            </w:r>
          </w:p>
        </w:tc>
        <w:tc>
          <w:tcPr>
            <w:tcW w:type="dxa" w:w="42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BTC-miner pivot now hosting CoreWeave; Macquarie financing $5B+; Ellendale N. Dakota campus 400 MW being built</w:t>
            </w:r>
          </w:p>
        </w:tc>
      </w:tr>
      <w:tr>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Crusoe Energy</w:t>
            </w:r>
          </w:p>
        </w:tc>
        <w:tc>
          <w:tcPr>
            <w:tcW w:type="dxa" w:w="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iCs/>
                <w:color w:val="1F2937"/>
                <w:sz w:val="18"/>
                <w:szCs w:val="18"/>
              </w:rPr>
              <w:t xml:space="preserve">(pvt)</w:t>
            </w:r>
          </w:p>
        </w:tc>
        <w:tc>
          <w:tcPr>
            <w:tcW w:type="dxa" w:w="13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Private</w:t>
            </w:r>
          </w:p>
        </w:tc>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Self-developed; OpenAI / Microsoft</w:t>
            </w:r>
          </w:p>
        </w:tc>
        <w:tc>
          <w:tcPr>
            <w:tcW w:type="dxa" w:w="42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Stargate Texas 1.2 GW JV with Oracle + OpenAI announced Jan 2025. $600M+ raised at $2.8B valuation 2024</w:t>
            </w:r>
          </w:p>
        </w:tc>
      </w:tr>
      <w:tr>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Lambda Labs</w:t>
            </w:r>
          </w:p>
        </w:tc>
        <w:tc>
          <w:tcPr>
            <w:tcW w:type="dxa" w:w="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iCs/>
                <w:color w:val="1F2937"/>
                <w:sz w:val="18"/>
                <w:szCs w:val="18"/>
              </w:rPr>
              <w:t xml:space="preserve">(pvt)</w:t>
            </w:r>
          </w:p>
        </w:tc>
        <w:tc>
          <w:tcPr>
            <w:tcW w:type="dxa" w:w="13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Private</w:t>
            </w:r>
          </w:p>
        </w:tc>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Long tail of AI startups</w:t>
            </w:r>
          </w:p>
        </w:tc>
        <w:tc>
          <w:tcPr>
            <w:tcW w:type="dxa" w:w="42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Smaller-scale GPU cloud; $480M Series D Apr 2024 at $1.5B valuation; rumored IPO 2026</w:t>
            </w:r>
          </w:p>
        </w:tc>
      </w:tr>
      <w:tr>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Together AI</w:t>
            </w:r>
          </w:p>
        </w:tc>
        <w:tc>
          <w:tcPr>
            <w:tcW w:type="dxa" w:w="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iCs/>
                <w:color w:val="1F2937"/>
                <w:sz w:val="18"/>
                <w:szCs w:val="18"/>
              </w:rPr>
              <w:t xml:space="preserve">(pvt)</w:t>
            </w:r>
          </w:p>
        </w:tc>
        <w:tc>
          <w:tcPr>
            <w:tcW w:type="dxa" w:w="13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Private</w:t>
            </w:r>
          </w:p>
        </w:tc>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Open-source AI inference</w:t>
            </w:r>
          </w:p>
        </w:tc>
        <w:tc>
          <w:tcPr>
            <w:tcW w:type="dxa" w:w="42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$305M Series B Feb 2025 at $3.3B; combines GPU cloud + inference API tier</w:t>
            </w:r>
          </w:p>
        </w:tc>
      </w:tr>
      <w:tr>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Voltage Park</w:t>
            </w:r>
          </w:p>
        </w:tc>
        <w:tc>
          <w:tcPr>
            <w:tcW w:type="dxa" w:w="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iCs/>
                <w:color w:val="1F2937"/>
                <w:sz w:val="18"/>
                <w:szCs w:val="18"/>
              </w:rPr>
              <w:t xml:space="preserve">(pvt)</w:t>
            </w:r>
          </w:p>
        </w:tc>
        <w:tc>
          <w:tcPr>
            <w:tcW w:type="dxa" w:w="13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Private</w:t>
            </w:r>
          </w:p>
        </w:tc>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Open-source AI research orgs</w:t>
            </w:r>
          </w:p>
        </w:tc>
        <w:tc>
          <w:tcPr>
            <w:tcW w:type="dxa" w:w="42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Non-profit-style; subsidized GPU access for research</w:t>
            </w:r>
          </w:p>
        </w:tc>
      </w:tr>
      <w:tr>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Foundry</w:t>
            </w:r>
          </w:p>
        </w:tc>
        <w:tc>
          <w:tcPr>
            <w:tcW w:type="dxa" w:w="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iCs/>
                <w:color w:val="1F2937"/>
                <w:sz w:val="18"/>
                <w:szCs w:val="18"/>
              </w:rPr>
              <w:t xml:space="preserve">(pvt)</w:t>
            </w:r>
          </w:p>
        </w:tc>
        <w:tc>
          <w:tcPr>
            <w:tcW w:type="dxa" w:w="13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Private</w:t>
            </w:r>
          </w:p>
        </w:tc>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Mix</w:t>
            </w:r>
          </w:p>
        </w:tc>
        <w:tc>
          <w:tcPr>
            <w:tcW w:type="dxa" w:w="42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Sequoia-backed; orchestration-layer with GPU cloud</w:t>
            </w:r>
          </w:p>
        </w:tc>
      </w:tr>
    </w:tbl>
    <w:p>
      <w:pPr>
        <w:spacing w:after="0" w:before="120"/>
      </w:pPr>
    </w:p>
    <w:p>
      <w:pPr>
        <w:spacing w:after="100" w:before="200"/>
      </w:pPr>
      <w:r>
        <w:rPr>
          <w:rFonts w:ascii="Arial" w:cs="Arial" w:eastAsia="Arial" w:hAnsi="Arial"/>
          <w:b/>
          <w:bCs/>
          <w:color w:val="1F2937"/>
          <w:sz w:val="22"/>
          <w:szCs w:val="22"/>
        </w:rPr>
        <w:t xml:space="preserve">Why the neoclouds were such extreme outperformers</w:t>
      </w:r>
    </w:p>
    <w:p>
      <w:pPr>
        <w:spacing w:after="60" w:before="60" w:line="300"/>
        <w:jc w:val="left"/>
      </w:pPr>
      <w:r>
        <w:rPr>
          <w:rFonts w:ascii="Arial" w:cs="Arial" w:eastAsia="Arial" w:hAnsi="Arial"/>
          <w:b w:val="false"/>
          <w:bCs w:val="false"/>
          <w:i w:val="false"/>
          <w:iCs w:val="false"/>
          <w:color w:val="1F2937"/>
          <w:sz w:val="20"/>
          <w:szCs w:val="20"/>
        </w:rPr>
        <w:t xml:space="preserve">CoreWeave, IREN, Nebius, and Applied Digital represent the single highest-beta cohort in the entire DC stack — and the reasoning is structural. NVIDIA's allocation of GPUs in 2023-24 created a two-sided supply constraint. On one side, hyperscalers were rationed and had to either build internally (12-24 months) or contract externally. On the other side, NVIDIA actively preferred to allocate to neoclouds because those buyers could not eventually displace NVIDIA with their own custom silicon (unlike AMZN with Trainium, MSFT with Maia, GOOG with TPU). This made the neoclouds the marginal seller of GPU capacity to hyperscalers — and gave them pricing power that nothing else in the entire stack had.</w:t>
      </w:r>
    </w:p>
    <w:p>
      <w:pPr>
        <w:spacing w:after="60" w:before="60" w:line="300"/>
        <w:jc w:val="left"/>
      </w:pPr>
      <w:r>
        <w:rPr>
          <w:rFonts w:ascii="Arial" w:cs="Arial" w:eastAsia="Arial" w:hAnsi="Arial"/>
          <w:b w:val="false"/>
          <w:bCs w:val="false"/>
          <w:i w:val="false"/>
          <w:iCs w:val="false"/>
          <w:color w:val="1F2937"/>
          <w:sz w:val="20"/>
          <w:szCs w:val="20"/>
        </w:rPr>
        <w:t xml:space="preserve">The CoreWeave-Microsoft contract is the canonical example. Microsoft pays CoreWeave for GPU capacity that Microsoft cannot get from NVIDIA directly in the volume required. The economics work because Microsoft's customer (OpenAI) needs the capacity now, not in 18 months. CoreWeave gets paid a markup over NVIDIA's wholesale cost; Microsoft books the cost of goods; OpenAI gets the capacity. Everyone wins as long as GPU supply remains constrained.</w:t>
      </w:r>
    </w:p>
    <w:p>
      <w:pPr>
        <w:spacing w:after="60" w:before="60" w:line="300"/>
        <w:jc w:val="left"/>
      </w:pPr>
      <w:r>
        <w:rPr>
          <w:rFonts w:ascii="Arial" w:cs="Arial" w:eastAsia="Arial" w:hAnsi="Arial"/>
          <w:b w:val="false"/>
          <w:bCs w:val="false"/>
          <w:i w:val="false"/>
          <w:iCs w:val="false"/>
          <w:color w:val="1F2937"/>
          <w:sz w:val="20"/>
          <w:szCs w:val="20"/>
        </w:rPr>
        <w:t xml:space="preserve">This is also why the cohort is structurally exposed to a downturn if GPU supply normalizes. The CoreWeave thesis lives or dies on the spread between GPU rental rate and depreciation, which only stays wide as long as GPU supply is binding.</w:t>
      </w:r>
    </w:p>
    <w:p>
      <w:r>
        <w:br w:type="page"/>
      </w:r>
    </w:p>
    <w:p>
      <w:pPr>
        <w:pStyle w:val="Heading2"/>
        <w:spacing w:after="160" w:before="360"/>
      </w:pPr>
      <w:r>
        <w:rPr>
          <w:rFonts w:ascii="Arial" w:cs="Arial" w:eastAsia="Arial" w:hAnsi="Arial"/>
          <w:b/>
          <w:bCs/>
          <w:color w:val="1F2937"/>
          <w:sz w:val="28"/>
          <w:szCs w:val="28"/>
        </w:rPr>
        <w:t xml:space="preserve">2.5 BTC-miner pivots to AI hosting</w:t>
      </w:r>
    </w:p>
    <w:p>
      <w:pPr>
        <w:spacing w:after="60" w:before="60" w:line="300"/>
        <w:jc w:val="left"/>
      </w:pPr>
      <w:r>
        <w:rPr>
          <w:rFonts w:ascii="Arial" w:cs="Arial" w:eastAsia="Arial" w:hAnsi="Arial"/>
          <w:b w:val="false"/>
          <w:bCs w:val="false"/>
          <w:i w:val="false"/>
          <w:iCs w:val="false"/>
          <w:color w:val="1F2937"/>
          <w:sz w:val="20"/>
          <w:szCs w:val="20"/>
        </w:rPr>
        <w:t xml:space="preserve">Bitcoin miners owned three of the four ingredients neoclouds needed: power, land, and grid interconnection. They lacked the GPUs and the AI customer relationships. From mid-2023 onward, several of the largest miners announced AI hosting pivots — converting facility energy contracts and existing buildings to GPU hosting. The result is a mixed bag — IREN executed, Applied Digital executed, most of the others mostly announced.</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1200"/>
        <w:gridCol w:w="6280"/>
      </w:tblGrid>
      <w:tr>
        <w:trPr>
          <w:tblHeader/>
        </w:trPr>
        <w:tc>
          <w:tcPr>
            <w:tcW w:type="dxa" w:w="170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Company</w:t>
            </w:r>
          </w:p>
        </w:tc>
        <w:tc>
          <w:tcPr>
            <w:tcW w:type="dxa" w:w="90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Ticker</w:t>
            </w:r>
          </w:p>
        </w:tc>
        <w:tc>
          <w:tcPr>
            <w:tcW w:type="dxa" w:w="120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Tier</w:t>
            </w:r>
          </w:p>
        </w:tc>
        <w:tc>
          <w:tcPr>
            <w:tcW w:type="dxa" w:w="628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Status, asset base and AI pivot detail</w:t>
            </w:r>
          </w:p>
        </w:tc>
      </w:tr>
      <w:tr>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IREN (Iris Energy)</w:t>
            </w:r>
          </w:p>
        </w:tc>
        <w:tc>
          <w:tcPr>
            <w:tcW w:type="dxa" w:w="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IREN</w:t>
            </w:r>
          </w:p>
        </w:tc>
        <w:tc>
          <w:tcPr>
            <w:tcW w:type="dxa" w:w="12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A · Already run</w:t>
            </w:r>
          </w:p>
        </w:tc>
        <w:tc>
          <w:tcPr>
            <w:tcW w:type="dxa" w:w="62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Childress TX 750 MW + Sweetwater 600 MW capacity; AI hosting deals with Microsoft and Poolside; cleanest BTC-to-AI pivot execution</w:t>
            </w:r>
          </w:p>
        </w:tc>
      </w:tr>
      <w:tr>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Hut 8</w:t>
            </w:r>
          </w:p>
        </w:tc>
        <w:tc>
          <w:tcPr>
            <w:tcW w:type="dxa" w:w="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HUT</w:t>
            </w:r>
          </w:p>
        </w:tc>
        <w:tc>
          <w:tcPr>
            <w:tcW w:type="dxa" w:w="1200"/>
            <w:tcBorders>
              <w:top w:val="single" w:color="D1D5DB" w:sz="4"/>
              <w:left w:val="single" w:color="D1D5DB" w:sz="4"/>
              <w:bottom w:val="single" w:color="D1D5DB" w:sz="4"/>
              <w:right w:val="single" w:color="D1D5DB" w:sz="4"/>
            </w:tcBorders>
            <w:shd w:fill="FEF3C7"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B · Picking up</w:t>
            </w:r>
          </w:p>
        </w:tc>
        <w:tc>
          <w:tcPr>
            <w:tcW w:type="dxa" w:w="62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Merged with US Bitcoin Corp 2023; HPC/AI segment branded as 'HighPerformance Computing'; smaller scale than IREN</w:t>
            </w:r>
          </w:p>
        </w:tc>
      </w:tr>
      <w:tr>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Cipher Mining</w:t>
            </w:r>
          </w:p>
        </w:tc>
        <w:tc>
          <w:tcPr>
            <w:tcW w:type="dxa" w:w="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CIFR</w:t>
            </w:r>
          </w:p>
        </w:tc>
        <w:tc>
          <w:tcPr>
            <w:tcW w:type="dxa" w:w="1200"/>
            <w:tcBorders>
              <w:top w:val="single" w:color="D1D5DB" w:sz="4"/>
              <w:left w:val="single" w:color="D1D5DB" w:sz="4"/>
              <w:bottom w:val="single" w:color="D1D5DB" w:sz="4"/>
              <w:right w:val="single" w:color="D1D5DB" w:sz="4"/>
            </w:tcBorders>
            <w:shd w:fill="FEF3C7"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B · Picking up</w:t>
            </w:r>
          </w:p>
        </w:tc>
        <w:tc>
          <w:tcPr>
            <w:tcW w:type="dxa" w:w="62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Bitfury-affiliated; Texas + Pennsylvania sites; AI hosting JV in development</w:t>
            </w:r>
          </w:p>
        </w:tc>
      </w:tr>
      <w:tr>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TeraWulf</w:t>
            </w:r>
          </w:p>
        </w:tc>
        <w:tc>
          <w:tcPr>
            <w:tcW w:type="dxa" w:w="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WULF</w:t>
            </w:r>
          </w:p>
        </w:tc>
        <w:tc>
          <w:tcPr>
            <w:tcW w:type="dxa" w:w="1200"/>
            <w:tcBorders>
              <w:top w:val="single" w:color="D1D5DB" w:sz="4"/>
              <w:left w:val="single" w:color="D1D5DB" w:sz="4"/>
              <w:bottom w:val="single" w:color="D1D5DB" w:sz="4"/>
              <w:right w:val="single" w:color="D1D5DB" w:sz="4"/>
            </w:tcBorders>
            <w:shd w:fill="FEF3C7"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B · Picking up</w:t>
            </w:r>
          </w:p>
        </w:tc>
        <w:tc>
          <w:tcPr>
            <w:tcW w:type="dxa" w:w="62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Lake Mariner NY 800 MW pipeline; nuclear-power-adjacent positioning; Core Scientific JV</w:t>
            </w:r>
          </w:p>
        </w:tc>
      </w:tr>
      <w:tr>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Bitdeer Technologies</w:t>
            </w:r>
          </w:p>
        </w:tc>
        <w:tc>
          <w:tcPr>
            <w:tcW w:type="dxa" w:w="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BTDR</w:t>
            </w:r>
          </w:p>
        </w:tc>
        <w:tc>
          <w:tcPr>
            <w:tcW w:type="dxa" w:w="1200"/>
            <w:tcBorders>
              <w:top w:val="single" w:color="D1D5DB" w:sz="4"/>
              <w:left w:val="single" w:color="D1D5DB" w:sz="4"/>
              <w:bottom w:val="single" w:color="D1D5DB" w:sz="4"/>
              <w:right w:val="single" w:color="D1D5DB" w:sz="4"/>
            </w:tcBorders>
            <w:shd w:fill="FEF3C7"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B · Picking up</w:t>
            </w:r>
          </w:p>
        </w:tc>
        <w:tc>
          <w:tcPr>
            <w:tcW w:type="dxa" w:w="62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Tether-backed (now); operations Norway + Bhutan + Texas; AI hosting initiative</w:t>
            </w:r>
          </w:p>
        </w:tc>
      </w:tr>
      <w:tr>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Core Scientific</w:t>
            </w:r>
          </w:p>
        </w:tc>
        <w:tc>
          <w:tcPr>
            <w:tcW w:type="dxa" w:w="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CORZ</w:t>
            </w:r>
          </w:p>
        </w:tc>
        <w:tc>
          <w:tcPr>
            <w:tcW w:type="dxa" w:w="12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A · Already run</w:t>
            </w:r>
          </w:p>
        </w:tc>
        <w:tc>
          <w:tcPr>
            <w:tcW w:type="dxa" w:w="62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Emerged from Chapter 11 Jan 2024; CoreWeave 12-yr hosting contract value ~$8.7B for 500 MW expanded to 800 MW; the BTC-to-AI hosting blueprint deal</w:t>
            </w:r>
          </w:p>
        </w:tc>
      </w:tr>
      <w:tr>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Galaxy Digital</w:t>
            </w:r>
          </w:p>
        </w:tc>
        <w:tc>
          <w:tcPr>
            <w:tcW w:type="dxa" w:w="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GLXY</w:t>
            </w:r>
          </w:p>
        </w:tc>
        <w:tc>
          <w:tcPr>
            <w:tcW w:type="dxa" w:w="1200"/>
            <w:tcBorders>
              <w:top w:val="single" w:color="D1D5DB" w:sz="4"/>
              <w:left w:val="single" w:color="D1D5DB" w:sz="4"/>
              <w:bottom w:val="single" w:color="D1D5DB" w:sz="4"/>
              <w:right w:val="single" w:color="D1D5DB" w:sz="4"/>
            </w:tcBorders>
            <w:shd w:fill="FEF3C7"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B · Picking up</w:t>
            </w:r>
          </w:p>
        </w:tc>
        <w:tc>
          <w:tcPr>
            <w:tcW w:type="dxa" w:w="62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Helios Texas site converted to host CoreWeave; asset manager + AI infra hybrid</w:t>
            </w:r>
          </w:p>
        </w:tc>
      </w:tr>
      <w:tr>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Riot Platforms</w:t>
            </w:r>
          </w:p>
        </w:tc>
        <w:tc>
          <w:tcPr>
            <w:tcW w:type="dxa" w:w="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RIOT</w:t>
            </w:r>
          </w:p>
        </w:tc>
        <w:tc>
          <w:tcPr>
            <w:tcW w:type="dxa" w:w="1200"/>
            <w:tcBorders>
              <w:top w:val="single" w:color="D1D5DB" w:sz="4"/>
              <w:left w:val="single" w:color="D1D5DB" w:sz="4"/>
              <w:bottom w:val="single" w:color="D1D5DB" w:sz="4"/>
              <w:right w:val="single" w:color="D1D5DB" w:sz="4"/>
            </w:tcBorders>
            <w:shd w:fill="D1FAE5"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C · No DC alpha</w:t>
            </w:r>
          </w:p>
        </w:tc>
        <w:tc>
          <w:tcPr>
            <w:tcW w:type="dxa" w:w="62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Corsicana Texas mega-site; AI pivot announced Apr 2024 but no major deal closed; stock followed BTC price more than AI narrative</w:t>
            </w:r>
          </w:p>
        </w:tc>
      </w:tr>
      <w:tr>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Marathon Digital</w:t>
            </w:r>
          </w:p>
        </w:tc>
        <w:tc>
          <w:tcPr>
            <w:tcW w:type="dxa" w:w="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MARA</w:t>
            </w:r>
          </w:p>
        </w:tc>
        <w:tc>
          <w:tcPr>
            <w:tcW w:type="dxa" w:w="1200"/>
            <w:tcBorders>
              <w:top w:val="single" w:color="D1D5DB" w:sz="4"/>
              <w:left w:val="single" w:color="D1D5DB" w:sz="4"/>
              <w:bottom w:val="single" w:color="D1D5DB" w:sz="4"/>
              <w:right w:val="single" w:color="D1D5DB" w:sz="4"/>
            </w:tcBorders>
            <w:shd w:fill="D1FAE5"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C · No DC alpha</w:t>
            </w:r>
          </w:p>
        </w:tc>
        <w:tc>
          <w:tcPr>
            <w:tcW w:type="dxa" w:w="62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Largest US BTC miner by capacity; AI pivot less developed than competitors</w:t>
            </w:r>
          </w:p>
        </w:tc>
      </w:tr>
      <w:tr>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Bit Digital</w:t>
            </w:r>
          </w:p>
        </w:tc>
        <w:tc>
          <w:tcPr>
            <w:tcW w:type="dxa" w:w="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BTBT</w:t>
            </w:r>
          </w:p>
        </w:tc>
        <w:tc>
          <w:tcPr>
            <w:tcW w:type="dxa" w:w="1200"/>
            <w:tcBorders>
              <w:top w:val="single" w:color="D1D5DB" w:sz="4"/>
              <w:left w:val="single" w:color="D1D5DB" w:sz="4"/>
              <w:bottom w:val="single" w:color="D1D5DB" w:sz="4"/>
              <w:right w:val="single" w:color="D1D5DB" w:sz="4"/>
            </w:tcBorders>
            <w:shd w:fill="D1FAE5"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C · No DC alpha</w:t>
            </w:r>
          </w:p>
        </w:tc>
        <w:tc>
          <w:tcPr>
            <w:tcW w:type="dxa" w:w="62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Smaller scale; HPC pivot announced</w:t>
            </w:r>
          </w:p>
        </w:tc>
      </w:tr>
      <w:tr>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CleanSpark</w:t>
            </w:r>
          </w:p>
        </w:tc>
        <w:tc>
          <w:tcPr>
            <w:tcW w:type="dxa" w:w="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CLSK</w:t>
            </w:r>
          </w:p>
        </w:tc>
        <w:tc>
          <w:tcPr>
            <w:tcW w:type="dxa" w:w="1200"/>
            <w:tcBorders>
              <w:top w:val="single" w:color="D1D5DB" w:sz="4"/>
              <w:left w:val="single" w:color="D1D5DB" w:sz="4"/>
              <w:bottom w:val="single" w:color="D1D5DB" w:sz="4"/>
              <w:right w:val="single" w:color="D1D5DB" w:sz="4"/>
            </w:tcBorders>
            <w:shd w:fill="D1FAE5"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C · No DC alpha</w:t>
            </w:r>
          </w:p>
        </w:tc>
        <w:tc>
          <w:tcPr>
            <w:tcW w:type="dxa" w:w="62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Clean-energy BTC mining angle; partial AI pivot</w:t>
            </w:r>
          </w:p>
        </w:tc>
      </w:tr>
      <w:tr>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Stronghold Digital</w:t>
            </w:r>
          </w:p>
        </w:tc>
        <w:tc>
          <w:tcPr>
            <w:tcW w:type="dxa" w:w="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SDIG</w:t>
            </w:r>
          </w:p>
        </w:tc>
        <w:tc>
          <w:tcPr>
            <w:tcW w:type="dxa" w:w="1200"/>
            <w:tcBorders>
              <w:top w:val="single" w:color="D1D5DB" w:sz="4"/>
              <w:left w:val="single" w:color="D1D5DB" w:sz="4"/>
              <w:bottom w:val="single" w:color="D1D5DB" w:sz="4"/>
              <w:right w:val="single" w:color="D1D5DB" w:sz="4"/>
            </w:tcBorders>
            <w:shd w:fill="D1FAE5"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C · No DC alpha</w:t>
            </w:r>
          </w:p>
        </w:tc>
        <w:tc>
          <w:tcPr>
            <w:tcW w:type="dxa" w:w="62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Waste-coal-fueled BTC miner with PA grid access; HPC angle hypothesized; small-cap</w:t>
            </w:r>
          </w:p>
        </w:tc>
      </w:tr>
    </w:tbl>
    <w:p>
      <w:pPr>
        <w:spacing w:after="0" w:before="120"/>
      </w:pPr>
    </w:p>
    <w:p>
      <w:pPr>
        <w:spacing w:after="60" w:before="60" w:line="300"/>
        <w:jc w:val="left"/>
      </w:pPr>
      <w:r>
        <w:rPr>
          <w:rFonts w:ascii="Arial" w:cs="Arial" w:eastAsia="Arial" w:hAnsi="Arial"/>
          <w:b w:val="false"/>
          <w:bCs w:val="false"/>
          <w:i w:val="false"/>
          <w:iCs w:val="false"/>
          <w:color w:val="1F2937"/>
          <w:sz w:val="20"/>
          <w:szCs w:val="20"/>
        </w:rPr>
        <w:t xml:space="preserve">The key differentiator within this cohort is whether the miner actually signed a hyperscaler-style hosting contract or only announced an intention. Core Scientific's deal with CoreWeave was the proof point — a 12-year contract worth $8.7 billion against 500 MW. IREN executed multiple smaller deals. Hut 8 and Cipher are mid-execution. The rest are story stocks with announced pivots but no booked revenue. Track the order book, not the press releases.</w:t>
      </w:r>
    </w:p>
    <w:p>
      <w:pPr>
        <w:pStyle w:val="Heading2"/>
        <w:spacing w:after="160" w:before="360"/>
      </w:pPr>
      <w:r>
        <w:rPr>
          <w:rFonts w:ascii="Arial" w:cs="Arial" w:eastAsia="Arial" w:hAnsi="Arial"/>
          <w:b/>
          <w:bCs/>
          <w:color w:val="1F2937"/>
          <w:sz w:val="28"/>
          <w:szCs w:val="28"/>
        </w:rPr>
        <w:t xml:space="preserve">2.6 Shell builders, design-build EPC and modular DC</w:t>
      </w:r>
    </w:p>
    <w:p>
      <w:pPr>
        <w:spacing w:after="60" w:before="60" w:line="300"/>
        <w:jc w:val="left"/>
      </w:pPr>
      <w:r>
        <w:rPr>
          <w:rFonts w:ascii="Arial" w:cs="Arial" w:eastAsia="Arial" w:hAnsi="Arial"/>
          <w:b w:val="false"/>
          <w:bCs w:val="false"/>
          <w:i w:val="false"/>
          <w:iCs w:val="false"/>
          <w:color w:val="1F2937"/>
          <w:sz w:val="20"/>
          <w:szCs w:val="20"/>
        </w:rPr>
        <w:t xml:space="preserve">The companies that physically construct DC buildings — pouring concrete, erecting steel, installing power and cooling distribution within the building shell — are mostly private. The largest DC general contractors in the US are not listed. The listed exposure comes from broader construction conglomerates with DC mix and from publicly listed mechanical-electrical contractors that build the inside-the-shell systems.</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1200"/>
        <w:gridCol w:w="6280"/>
      </w:tblGrid>
      <w:tr>
        <w:trPr>
          <w:tblHeader/>
        </w:trPr>
        <w:tc>
          <w:tcPr>
            <w:tcW w:type="dxa" w:w="170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Company</w:t>
            </w:r>
          </w:p>
        </w:tc>
        <w:tc>
          <w:tcPr>
            <w:tcW w:type="dxa" w:w="90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Ticker</w:t>
            </w:r>
          </w:p>
        </w:tc>
        <w:tc>
          <w:tcPr>
            <w:tcW w:type="dxa" w:w="120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Tier</w:t>
            </w:r>
          </w:p>
        </w:tc>
        <w:tc>
          <w:tcPr>
            <w:tcW w:type="dxa" w:w="628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Role and rationale</w:t>
            </w:r>
          </w:p>
        </w:tc>
      </w:tr>
      <w:tr>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DPR Construction</w:t>
            </w:r>
          </w:p>
        </w:tc>
        <w:tc>
          <w:tcPr>
            <w:tcW w:type="dxa" w:w="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iCs/>
                <w:color w:val="1F2937"/>
                <w:sz w:val="18"/>
                <w:szCs w:val="18"/>
              </w:rPr>
              <w:t xml:space="preserve">(pvt)</w:t>
            </w:r>
          </w:p>
        </w:tc>
        <w:tc>
          <w:tcPr>
            <w:tcW w:type="dxa" w:w="12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Private</w:t>
            </w:r>
          </w:p>
        </w:tc>
        <w:tc>
          <w:tcPr>
            <w:tcW w:type="dxa" w:w="62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Largest US DC general contractor; partners directly with Microsoft, Google, Meta on DC builds. Employee-owned; not investable.</w:t>
            </w:r>
          </w:p>
        </w:tc>
      </w:tr>
      <w:tr>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Holder Construction</w:t>
            </w:r>
          </w:p>
        </w:tc>
        <w:tc>
          <w:tcPr>
            <w:tcW w:type="dxa" w:w="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iCs/>
                <w:color w:val="1F2937"/>
                <w:sz w:val="18"/>
                <w:szCs w:val="18"/>
              </w:rPr>
              <w:t xml:space="preserve">(pvt)</w:t>
            </w:r>
          </w:p>
        </w:tc>
        <w:tc>
          <w:tcPr>
            <w:tcW w:type="dxa" w:w="12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Private</w:t>
            </w:r>
          </w:p>
        </w:tc>
        <w:tc>
          <w:tcPr>
            <w:tcW w:type="dxa" w:w="62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Atlanta-based DC specialist GC; major Meta + Google projects. Private.</w:t>
            </w:r>
          </w:p>
        </w:tc>
      </w:tr>
      <w:tr>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Turner Construction</w:t>
            </w:r>
          </w:p>
        </w:tc>
        <w:tc>
          <w:tcPr>
            <w:tcW w:type="dxa" w:w="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iCs/>
                <w:color w:val="1F2937"/>
                <w:sz w:val="18"/>
                <w:szCs w:val="18"/>
              </w:rPr>
              <w:t xml:space="preserve">(pvt)</w:t>
            </w:r>
          </w:p>
        </w:tc>
        <w:tc>
          <w:tcPr>
            <w:tcW w:type="dxa" w:w="12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Private</w:t>
            </w:r>
          </w:p>
        </w:tc>
        <w:tc>
          <w:tcPr>
            <w:tcW w:type="dxa" w:w="62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Hochtief-owned; large hyperscale DC builder; not separately listed.</w:t>
            </w:r>
          </w:p>
        </w:tc>
      </w:tr>
      <w:tr>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Mortenson Construction</w:t>
            </w:r>
          </w:p>
        </w:tc>
        <w:tc>
          <w:tcPr>
            <w:tcW w:type="dxa" w:w="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iCs/>
                <w:color w:val="1F2937"/>
                <w:sz w:val="18"/>
                <w:szCs w:val="18"/>
              </w:rPr>
              <w:t xml:space="preserve">(pvt)</w:t>
            </w:r>
          </w:p>
        </w:tc>
        <w:tc>
          <w:tcPr>
            <w:tcW w:type="dxa" w:w="12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Private</w:t>
            </w:r>
          </w:p>
        </w:tc>
        <w:tc>
          <w:tcPr>
            <w:tcW w:type="dxa" w:w="62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Minneapolis-based mega-DC contractor; not listed.</w:t>
            </w:r>
          </w:p>
        </w:tc>
      </w:tr>
      <w:tr>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Rogers-O'Brien</w:t>
            </w:r>
          </w:p>
        </w:tc>
        <w:tc>
          <w:tcPr>
            <w:tcW w:type="dxa" w:w="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iCs/>
                <w:color w:val="1F2937"/>
                <w:sz w:val="18"/>
                <w:szCs w:val="18"/>
              </w:rPr>
              <w:t xml:space="preserve">(pvt)</w:t>
            </w:r>
          </w:p>
        </w:tc>
        <w:tc>
          <w:tcPr>
            <w:tcW w:type="dxa" w:w="12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Private</w:t>
            </w:r>
          </w:p>
        </w:tc>
        <w:tc>
          <w:tcPr>
            <w:tcW w:type="dxa" w:w="62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Texas DC GC; Compass and CyrusOne builds. Private.</w:t>
            </w:r>
          </w:p>
        </w:tc>
      </w:tr>
      <w:tr>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Comfort Systems USA</w:t>
            </w:r>
          </w:p>
        </w:tc>
        <w:tc>
          <w:tcPr>
            <w:tcW w:type="dxa" w:w="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FIX</w:t>
            </w:r>
          </w:p>
        </w:tc>
        <w:tc>
          <w:tcPr>
            <w:tcW w:type="dxa" w:w="12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A · Already run</w:t>
            </w:r>
          </w:p>
        </w:tc>
        <w:tc>
          <w:tcPr>
            <w:tcW w:type="dxa" w:w="62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Largest listed mechanical contractor with significant DC mix; HVAC + plumbing + cooling distribution; rallied ~5-7x as DC backlog grew</w:t>
            </w:r>
          </w:p>
        </w:tc>
      </w:tr>
      <w:tr>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EMCOR Group</w:t>
            </w:r>
          </w:p>
        </w:tc>
        <w:tc>
          <w:tcPr>
            <w:tcW w:type="dxa" w:w="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EME</w:t>
            </w:r>
          </w:p>
        </w:tc>
        <w:tc>
          <w:tcPr>
            <w:tcW w:type="dxa" w:w="12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A · Already run</w:t>
            </w:r>
          </w:p>
        </w:tc>
        <w:tc>
          <w:tcPr>
            <w:tcW w:type="dxa" w:w="62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Diversified mechanical-electrical contractor; ~25% DC mix; classic 'pick-and-shovel' DC build play</w:t>
            </w:r>
          </w:p>
        </w:tc>
      </w:tr>
      <w:tr>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Sterling Infrastructure</w:t>
            </w:r>
          </w:p>
        </w:tc>
        <w:tc>
          <w:tcPr>
            <w:tcW w:type="dxa" w:w="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STRL</w:t>
            </w:r>
          </w:p>
        </w:tc>
        <w:tc>
          <w:tcPr>
            <w:tcW w:type="dxa" w:w="12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A · Already run</w:t>
            </w:r>
          </w:p>
        </w:tc>
        <w:tc>
          <w:tcPr>
            <w:tcW w:type="dxa" w:w="62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Site work + e-infrastructure for DC pads; specifically positioned in Texas + Phoenix DC clusters</w:t>
            </w:r>
          </w:p>
        </w:tc>
      </w:tr>
      <w:tr>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Limbach Holdings</w:t>
            </w:r>
          </w:p>
        </w:tc>
        <w:tc>
          <w:tcPr>
            <w:tcW w:type="dxa" w:w="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LMB</w:t>
            </w:r>
          </w:p>
        </w:tc>
        <w:tc>
          <w:tcPr>
            <w:tcW w:type="dxa" w:w="1200"/>
            <w:tcBorders>
              <w:top w:val="single" w:color="D1D5DB" w:sz="4"/>
              <w:left w:val="single" w:color="D1D5DB" w:sz="4"/>
              <w:bottom w:val="single" w:color="D1D5DB" w:sz="4"/>
              <w:right w:val="single" w:color="D1D5DB" w:sz="4"/>
            </w:tcBorders>
            <w:shd w:fill="FEF3C7"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B · Picking up</w:t>
            </w:r>
          </w:p>
        </w:tc>
        <w:tc>
          <w:tcPr>
            <w:tcW w:type="dxa" w:w="62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Mechanical contractor with growing DC vertical; small-cap leverage</w:t>
            </w:r>
          </w:p>
        </w:tc>
      </w:tr>
      <w:tr>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MYR Group</w:t>
            </w:r>
          </w:p>
        </w:tc>
        <w:tc>
          <w:tcPr>
            <w:tcW w:type="dxa" w:w="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MYRG</w:t>
            </w:r>
          </w:p>
        </w:tc>
        <w:tc>
          <w:tcPr>
            <w:tcW w:type="dxa" w:w="1200"/>
            <w:tcBorders>
              <w:top w:val="single" w:color="D1D5DB" w:sz="4"/>
              <w:left w:val="single" w:color="D1D5DB" w:sz="4"/>
              <w:bottom w:val="single" w:color="D1D5DB" w:sz="4"/>
              <w:right w:val="single" w:color="D1D5DB" w:sz="4"/>
            </w:tcBorders>
            <w:shd w:fill="FEF3C7"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B · Picking up</w:t>
            </w:r>
          </w:p>
        </w:tc>
        <w:tc>
          <w:tcPr>
            <w:tcW w:type="dxa" w:w="62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T&amp;D + DC electrical EPC; smaller than Quanta but more DC-attribution growth runway</w:t>
            </w:r>
          </w:p>
        </w:tc>
      </w:tr>
      <w:tr>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Vertiv (modular)</w:t>
            </w:r>
          </w:p>
        </w:tc>
        <w:tc>
          <w:tcPr>
            <w:tcW w:type="dxa" w:w="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VRT</w:t>
            </w:r>
          </w:p>
        </w:tc>
        <w:tc>
          <w:tcPr>
            <w:tcW w:type="dxa" w:w="12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A · Already run</w:t>
            </w:r>
          </w:p>
        </w:tc>
        <w:tc>
          <w:tcPr>
            <w:tcW w:type="dxa" w:w="62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Vertiv MegaMod and Modular Power Solutions deliver pre-fabricated DC modules; the modular DC angle is a separate revenue line within Vertiv</w:t>
            </w:r>
          </w:p>
        </w:tc>
      </w:tr>
      <w:tr>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Compass Datacenters (Mod)</w:t>
            </w:r>
          </w:p>
        </w:tc>
        <w:tc>
          <w:tcPr>
            <w:tcW w:type="dxa" w:w="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iCs/>
                <w:color w:val="1F2937"/>
                <w:sz w:val="18"/>
                <w:szCs w:val="18"/>
              </w:rPr>
              <w:t xml:space="preserve">(pvt)</w:t>
            </w:r>
          </w:p>
        </w:tc>
        <w:tc>
          <w:tcPr>
            <w:tcW w:type="dxa" w:w="12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Private</w:t>
            </w:r>
          </w:p>
        </w:tc>
        <w:tc>
          <w:tcPr>
            <w:tcW w:type="dxa" w:w="62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Compass's StackV modular DC product; private</w:t>
            </w:r>
          </w:p>
        </w:tc>
      </w:tr>
      <w:tr>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BASELAYER</w:t>
            </w:r>
          </w:p>
        </w:tc>
        <w:tc>
          <w:tcPr>
            <w:tcW w:type="dxa" w:w="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iCs/>
                <w:color w:val="1F2937"/>
                <w:sz w:val="18"/>
                <w:szCs w:val="18"/>
              </w:rPr>
              <w:t xml:space="preserve">(pvt)</w:t>
            </w:r>
          </w:p>
        </w:tc>
        <w:tc>
          <w:tcPr>
            <w:tcW w:type="dxa" w:w="12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Private</w:t>
            </w:r>
          </w:p>
        </w:tc>
        <w:tc>
          <w:tcPr>
            <w:tcW w:type="dxa" w:w="62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Modular DC vendor; IO Data Centers spin</w:t>
            </w:r>
          </w:p>
        </w:tc>
      </w:tr>
    </w:tbl>
    <w:p>
      <w:pPr>
        <w:spacing w:after="0" w:before="120"/>
      </w:pPr>
    </w:p>
    <w:p>
      <w:pPr>
        <w:spacing w:after="60" w:before="60" w:line="300"/>
        <w:jc w:val="left"/>
      </w:pPr>
      <w:r>
        <w:rPr>
          <w:rFonts w:ascii="Arial" w:cs="Arial" w:eastAsia="Arial" w:hAnsi="Arial"/>
          <w:b w:val="false"/>
          <w:bCs w:val="false"/>
          <w:i w:val="false"/>
          <w:iCs w:val="false"/>
          <w:color w:val="1F2937"/>
          <w:sz w:val="20"/>
          <w:szCs w:val="20"/>
        </w:rPr>
        <w:t xml:space="preserve">Comfort Systems USA is the most under-discussed asset-owner-adjacent winner. Its stock went from $130 in early 2023 to over $700 by mid-2025 — a clean 5-7x — almost entirely on data center mechanical contracting backlog. The narrative was buried inside 'mechanical contractor' which is a sleepy industrial label; in fact FIX is one of the cleanest US DC-build plays available in the listed market.</w:t>
      </w:r>
    </w:p>
    <w:p>
      <w:r>
        <w:br w:type="page"/>
      </w:r>
    </w:p>
    <w:p>
      <w:pPr>
        <w:pStyle w:val="Heading2"/>
        <w:spacing w:after="160" w:before="360"/>
      </w:pPr>
      <w:r>
        <w:rPr>
          <w:rFonts w:ascii="Arial" w:cs="Arial" w:eastAsia="Arial" w:hAnsi="Arial"/>
          <w:b/>
          <w:bCs/>
          <w:color w:val="1F2937"/>
          <w:sz w:val="28"/>
          <w:szCs w:val="28"/>
        </w:rPr>
        <w:t xml:space="preserve">2.7 Power and land asset owners with DC adjacency</w:t>
      </w:r>
    </w:p>
    <w:p>
      <w:pPr>
        <w:spacing w:after="60" w:before="60" w:line="300"/>
        <w:jc w:val="left"/>
      </w:pPr>
      <w:r>
        <w:rPr>
          <w:rFonts w:ascii="Arial" w:cs="Arial" w:eastAsia="Arial" w:hAnsi="Arial"/>
          <w:b w:val="false"/>
          <w:bCs w:val="false"/>
          <w:i w:val="false"/>
          <w:iCs w:val="false"/>
          <w:color w:val="1F2937"/>
          <w:sz w:val="20"/>
          <w:szCs w:val="20"/>
        </w:rPr>
        <w:t xml:space="preserve">This is the segment that produced the largest absolute-dollar rerate of the entire cycle. Owning a power plant with adjacent developable land and an existing grid interconnection allowed the operator to sell capacity behind the meter at premium pricing. The Talen-AWS Susquehanna deal is the canonical example. Generation companies are covered in detail in a separate report; this section focuses on the asset-owner angle specifically — the moat is the inherited site, not the molecules.</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1200"/>
        <w:gridCol w:w="6280"/>
      </w:tblGrid>
      <w:tr>
        <w:trPr>
          <w:tblHeader/>
        </w:trPr>
        <w:tc>
          <w:tcPr>
            <w:tcW w:type="dxa" w:w="170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Company</w:t>
            </w:r>
          </w:p>
        </w:tc>
        <w:tc>
          <w:tcPr>
            <w:tcW w:type="dxa" w:w="90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Ticker</w:t>
            </w:r>
          </w:p>
        </w:tc>
        <w:tc>
          <w:tcPr>
            <w:tcW w:type="dxa" w:w="120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Tier</w:t>
            </w:r>
          </w:p>
        </w:tc>
        <w:tc>
          <w:tcPr>
            <w:tcW w:type="dxa" w:w="628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Asset-owner angle</w:t>
            </w:r>
          </w:p>
        </w:tc>
      </w:tr>
      <w:tr>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Talen Energy</w:t>
            </w:r>
          </w:p>
        </w:tc>
        <w:tc>
          <w:tcPr>
            <w:tcW w:type="dxa" w:w="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TLN</w:t>
            </w:r>
          </w:p>
        </w:tc>
        <w:tc>
          <w:tcPr>
            <w:tcW w:type="dxa" w:w="12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A · Already run</w:t>
            </w:r>
          </w:p>
        </w:tc>
        <w:tc>
          <w:tcPr>
            <w:tcW w:type="dxa" w:w="62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Susquehanna nuclear 2.5 GW + Cumulus Data campus (1,200 acres adjacent). Sold Cumulus to AWS Mar 2024 for $650M + 960 MW behind-the-meter PPA. Stock 13x.</w:t>
            </w:r>
          </w:p>
        </w:tc>
      </w:tr>
      <w:tr>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Constellation Energy</w:t>
            </w:r>
          </w:p>
        </w:tc>
        <w:tc>
          <w:tcPr>
            <w:tcW w:type="dxa" w:w="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CEG</w:t>
            </w:r>
          </w:p>
        </w:tc>
        <w:tc>
          <w:tcPr>
            <w:tcW w:type="dxa" w:w="12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A · Already run</w:t>
            </w:r>
          </w:p>
        </w:tc>
        <w:tc>
          <w:tcPr>
            <w:tcW w:type="dxa" w:w="62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32 GW nuclear-heavy fleet. TMI restart deal with Microsoft Sep 2024; multiple sites have land + interconnect optionality (Calvert Cliffs, Limerick, Byron)</w:t>
            </w:r>
          </w:p>
        </w:tc>
      </w:tr>
      <w:tr>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Vistra Corp</w:t>
            </w:r>
          </w:p>
        </w:tc>
        <w:tc>
          <w:tcPr>
            <w:tcW w:type="dxa" w:w="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VST</w:t>
            </w:r>
          </w:p>
        </w:tc>
        <w:tc>
          <w:tcPr>
            <w:tcW w:type="dxa" w:w="12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A · Already run</w:t>
            </w:r>
          </w:p>
        </w:tc>
        <w:tc>
          <w:tcPr>
            <w:tcW w:type="dxa" w:w="62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Energy Harbor acquisition Mar 2024 added 4 GW nuclear + sites; Comanche Peak Texas adjacent land being shopped for hyperscale DC siting</w:t>
            </w:r>
          </w:p>
        </w:tc>
      </w:tr>
      <w:tr>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Public Service Enterprise</w:t>
            </w:r>
          </w:p>
        </w:tc>
        <w:tc>
          <w:tcPr>
            <w:tcW w:type="dxa" w:w="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PEG</w:t>
            </w:r>
          </w:p>
        </w:tc>
        <w:tc>
          <w:tcPr>
            <w:tcW w:type="dxa" w:w="1200"/>
            <w:tcBorders>
              <w:top w:val="single" w:color="D1D5DB" w:sz="4"/>
              <w:left w:val="single" w:color="D1D5DB" w:sz="4"/>
              <w:bottom w:val="single" w:color="D1D5DB" w:sz="4"/>
              <w:right w:val="single" w:color="D1D5DB" w:sz="4"/>
            </w:tcBorders>
            <w:shd w:fill="FEF3C7"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B · Picking up</w:t>
            </w:r>
          </w:p>
        </w:tc>
        <w:tc>
          <w:tcPr>
            <w:tcW w:type="dxa" w:w="62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Salem + Hope Creek nuclear in NJ; land + interconnect for behind-the-meter DC under exploration</w:t>
            </w:r>
          </w:p>
        </w:tc>
      </w:tr>
      <w:tr>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Brookfield Renewable</w:t>
            </w:r>
          </w:p>
        </w:tc>
        <w:tc>
          <w:tcPr>
            <w:tcW w:type="dxa" w:w="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BEPC</w:t>
            </w:r>
          </w:p>
        </w:tc>
        <w:tc>
          <w:tcPr>
            <w:tcW w:type="dxa" w:w="1200"/>
            <w:tcBorders>
              <w:top w:val="single" w:color="D1D5DB" w:sz="4"/>
              <w:left w:val="single" w:color="D1D5DB" w:sz="4"/>
              <w:bottom w:val="single" w:color="D1D5DB" w:sz="4"/>
              <w:right w:val="single" w:color="D1D5DB" w:sz="4"/>
            </w:tcBorders>
            <w:shd w:fill="D1FAE5"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C · No DC alpha</w:t>
            </w:r>
          </w:p>
        </w:tc>
        <w:tc>
          <w:tcPr>
            <w:tcW w:type="dxa" w:w="62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Hydro and wind portfolio; Microsoft 10.5 GW renewable PPA May 2024; underperformed despite being NEXT-largest renewable PPA winner</w:t>
            </w:r>
          </w:p>
        </w:tc>
      </w:tr>
      <w:tr>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Tract</w:t>
            </w:r>
          </w:p>
        </w:tc>
        <w:tc>
          <w:tcPr>
            <w:tcW w:type="dxa" w:w="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iCs/>
                <w:color w:val="1F2937"/>
                <w:sz w:val="18"/>
                <w:szCs w:val="18"/>
              </w:rPr>
              <w:t xml:space="preserve">(pvt)</w:t>
            </w:r>
          </w:p>
        </w:tc>
        <w:tc>
          <w:tcPr>
            <w:tcW w:type="dxa" w:w="12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Private</w:t>
            </w:r>
          </w:p>
        </w:tc>
        <w:tc>
          <w:tcPr>
            <w:tcW w:type="dxa" w:w="62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Pure-play DC land developer; assembles + entitles + sells DC-ready parcels with power. Series B 2024.</w:t>
            </w:r>
          </w:p>
        </w:tc>
      </w:tr>
      <w:tr>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Quanta Computer (Taiwan)</w:t>
            </w:r>
          </w:p>
        </w:tc>
        <w:tc>
          <w:tcPr>
            <w:tcW w:type="dxa" w:w="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2382-TW</w:t>
            </w:r>
          </w:p>
        </w:tc>
        <w:tc>
          <w:tcPr>
            <w:tcW w:type="dxa" w:w="12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A · Already run</w:t>
            </w:r>
          </w:p>
        </w:tc>
        <w:tc>
          <w:tcPr>
            <w:tcW w:type="dxa" w:w="62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Different name but worth mentioning: Quanta is the largest NVIDIA AI server contract manufacturer; not asset-owner per se but indirect DC asset exposure</w:t>
            </w:r>
          </w:p>
        </w:tc>
      </w:tr>
    </w:tbl>
    <w:p>
      <w:pPr>
        <w:spacing w:after="0" w:before="120"/>
      </w:pPr>
    </w:p>
    <w:p>
      <w:pPr>
        <w:pStyle w:val="Heading2"/>
        <w:spacing w:after="160" w:before="360"/>
      </w:pPr>
      <w:r>
        <w:rPr>
          <w:rFonts w:ascii="Arial" w:cs="Arial" w:eastAsia="Arial" w:hAnsi="Arial"/>
          <w:b/>
          <w:bCs/>
          <w:color w:val="1F2937"/>
          <w:sz w:val="28"/>
          <w:szCs w:val="28"/>
        </w:rPr>
        <w:t xml:space="preserve">2.8 Fiber, interconnect and dark fiber owners</w:t>
      </w:r>
    </w:p>
    <w:p>
      <w:pPr>
        <w:spacing w:after="60" w:before="60" w:line="300"/>
        <w:jc w:val="left"/>
      </w:pPr>
      <w:r>
        <w:rPr>
          <w:rFonts w:ascii="Arial" w:cs="Arial" w:eastAsia="Arial" w:hAnsi="Arial"/>
          <w:b w:val="false"/>
          <w:bCs w:val="false"/>
          <w:i w:val="false"/>
          <w:iCs w:val="false"/>
          <w:color w:val="1F2937"/>
          <w:sz w:val="20"/>
          <w:szCs w:val="20"/>
        </w:rPr>
        <w:t xml:space="preserve">Fiber owners benefit from DC build-out in two ways: long-haul fiber routes connecting DC clusters (specifically the 'AI Alley' Northern Virginia to Atlanta to Dallas corridor), and metro fiber within DC campuses themselves. The listed fiber universe is small because most major routes are owned by Zayo (private since 2020), Crown Castle's fiber arm (announced sale 2024), and a few PE-owned operators.</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1200"/>
        <w:gridCol w:w="6280"/>
      </w:tblGrid>
      <w:tr>
        <w:trPr>
          <w:tblHeader/>
        </w:trPr>
        <w:tc>
          <w:tcPr>
            <w:tcW w:type="dxa" w:w="170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Company</w:t>
            </w:r>
          </w:p>
        </w:tc>
        <w:tc>
          <w:tcPr>
            <w:tcW w:type="dxa" w:w="90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Ticker</w:t>
            </w:r>
          </w:p>
        </w:tc>
        <w:tc>
          <w:tcPr>
            <w:tcW w:type="dxa" w:w="120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Tier</w:t>
            </w:r>
          </w:p>
        </w:tc>
        <w:tc>
          <w:tcPr>
            <w:tcW w:type="dxa" w:w="628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Asset</w:t>
            </w:r>
          </w:p>
        </w:tc>
      </w:tr>
      <w:tr>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Lumen Technologies</w:t>
            </w:r>
          </w:p>
        </w:tc>
        <w:tc>
          <w:tcPr>
            <w:tcW w:type="dxa" w:w="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LUMN</w:t>
            </w:r>
          </w:p>
        </w:tc>
        <w:tc>
          <w:tcPr>
            <w:tcW w:type="dxa" w:w="1200"/>
            <w:tcBorders>
              <w:top w:val="single" w:color="D1D5DB" w:sz="4"/>
              <w:left w:val="single" w:color="D1D5DB" w:sz="4"/>
              <w:bottom w:val="single" w:color="D1D5DB" w:sz="4"/>
              <w:right w:val="single" w:color="D1D5DB" w:sz="4"/>
            </w:tcBorders>
            <w:shd w:fill="FEF3C7"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B · Picking up</w:t>
            </w:r>
          </w:p>
        </w:tc>
        <w:tc>
          <w:tcPr>
            <w:tcW w:type="dxa" w:w="62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Long-haul fiber + IXP exposure; $5B+ AI-driven contract wins announced Aug 2024; rallied off broken base</w:t>
            </w:r>
          </w:p>
        </w:tc>
      </w:tr>
      <w:tr>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Crown Castle (fiber arm)</w:t>
            </w:r>
          </w:p>
        </w:tc>
        <w:tc>
          <w:tcPr>
            <w:tcW w:type="dxa" w:w="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CCI</w:t>
            </w:r>
          </w:p>
        </w:tc>
        <w:tc>
          <w:tcPr>
            <w:tcW w:type="dxa" w:w="1200"/>
            <w:tcBorders>
              <w:top w:val="single" w:color="D1D5DB" w:sz="4"/>
              <w:left w:val="single" w:color="D1D5DB" w:sz="4"/>
              <w:bottom w:val="single" w:color="D1D5DB" w:sz="4"/>
              <w:right w:val="single" w:color="D1D5DB" w:sz="4"/>
            </w:tcBorders>
            <w:shd w:fill="D1FAE5"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C · No DC alpha</w:t>
            </w:r>
          </w:p>
        </w:tc>
        <w:tc>
          <w:tcPr>
            <w:tcW w:type="dxa" w:w="62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Fiber business announced for sale 2024; DC interconnect angle exists but underexposed</w:t>
            </w:r>
          </w:p>
        </w:tc>
      </w:tr>
      <w:tr>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Zayo Group</w:t>
            </w:r>
          </w:p>
        </w:tc>
        <w:tc>
          <w:tcPr>
            <w:tcW w:type="dxa" w:w="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iCs/>
                <w:color w:val="1F2937"/>
                <w:sz w:val="18"/>
                <w:szCs w:val="18"/>
              </w:rPr>
              <w:t xml:space="preserve">(pvt)</w:t>
            </w:r>
          </w:p>
        </w:tc>
        <w:tc>
          <w:tcPr>
            <w:tcW w:type="dxa" w:w="12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Private</w:t>
            </w:r>
          </w:p>
        </w:tc>
        <w:tc>
          <w:tcPr>
            <w:tcW w:type="dxa" w:w="62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Largest US dark fiber network; DigitalBridge + EQT-owned since 2020; key DC-cluster interconnect provider</w:t>
            </w:r>
          </w:p>
        </w:tc>
      </w:tr>
      <w:tr>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Cologix</w:t>
            </w:r>
          </w:p>
        </w:tc>
        <w:tc>
          <w:tcPr>
            <w:tcW w:type="dxa" w:w="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iCs/>
                <w:color w:val="1F2937"/>
                <w:sz w:val="18"/>
                <w:szCs w:val="18"/>
              </w:rPr>
              <w:t xml:space="preserve">(pvt)</w:t>
            </w:r>
          </w:p>
        </w:tc>
        <w:tc>
          <w:tcPr>
            <w:tcW w:type="dxa" w:w="12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Private</w:t>
            </w:r>
          </w:p>
        </w:tc>
        <w:tc>
          <w:tcPr>
            <w:tcW w:type="dxa" w:w="62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Interconnection-heavy retail colo; DC + IXP combo</w:t>
            </w:r>
          </w:p>
        </w:tc>
      </w:tr>
      <w:tr>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Frontier Communications</w:t>
            </w:r>
          </w:p>
        </w:tc>
        <w:tc>
          <w:tcPr>
            <w:tcW w:type="dxa" w:w="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FYBR</w:t>
            </w:r>
          </w:p>
        </w:tc>
        <w:tc>
          <w:tcPr>
            <w:tcW w:type="dxa" w:w="1200"/>
            <w:tcBorders>
              <w:top w:val="single" w:color="D1D5DB" w:sz="4"/>
              <w:left w:val="single" w:color="D1D5DB" w:sz="4"/>
              <w:bottom w:val="single" w:color="D1D5DB" w:sz="4"/>
              <w:right w:val="single" w:color="D1D5DB" w:sz="4"/>
            </w:tcBorders>
            <w:shd w:fill="D1FAE5"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C · No DC alpha</w:t>
            </w:r>
          </w:p>
        </w:tc>
        <w:tc>
          <w:tcPr>
            <w:tcW w:type="dxa" w:w="62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Fiber overbuild story; acquired by Verizon Aug 2024 for $20B; DC angle subordinate</w:t>
            </w:r>
          </w:p>
        </w:tc>
      </w:tr>
      <w:tr>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Cogent Communications</w:t>
            </w:r>
          </w:p>
        </w:tc>
        <w:tc>
          <w:tcPr>
            <w:tcW w:type="dxa" w:w="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CCOI</w:t>
            </w:r>
          </w:p>
        </w:tc>
        <w:tc>
          <w:tcPr>
            <w:tcW w:type="dxa" w:w="1200"/>
            <w:tcBorders>
              <w:top w:val="single" w:color="D1D5DB" w:sz="4"/>
              <w:left w:val="single" w:color="D1D5DB" w:sz="4"/>
              <w:bottom w:val="single" w:color="D1D5DB" w:sz="4"/>
              <w:right w:val="single" w:color="D1D5DB" w:sz="4"/>
            </w:tcBorders>
            <w:shd w:fill="D1FAE5"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C · No DC alpha</w:t>
            </w:r>
          </w:p>
        </w:tc>
        <w:tc>
          <w:tcPr>
            <w:tcW w:type="dxa" w:w="62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IP transit + small-business fiber; DC mix limited</w:t>
            </w:r>
          </w:p>
        </w:tc>
      </w:tr>
    </w:tbl>
    <w:p>
      <w:pPr>
        <w:spacing w:after="0" w:before="120"/>
      </w:pPr>
    </w:p>
    <w:p>
      <w:pPr>
        <w:spacing w:after="60" w:before="60" w:line="300"/>
        <w:jc w:val="left"/>
      </w:pPr>
      <w:r>
        <w:rPr>
          <w:rFonts w:ascii="Arial" w:cs="Arial" w:eastAsia="Arial" w:hAnsi="Arial"/>
          <w:b w:val="false"/>
          <w:bCs w:val="false"/>
          <w:i w:val="false"/>
          <w:iCs w:val="false"/>
          <w:color w:val="1F2937"/>
          <w:sz w:val="20"/>
          <w:szCs w:val="20"/>
        </w:rPr>
        <w:t xml:space="preserve">Fiber is the segment with the least public listed exposure relative to its strategic importance. The infrastructure-fund cohort has largely consolidated the asset class privately. Lumen is the closest pure-play and rallied on a series of large AI-network contract announcements in 2024.</w:t>
      </w:r>
    </w:p>
    <w:p>
      <w:pPr>
        <w:pStyle w:val="Heading2"/>
        <w:spacing w:after="160" w:before="360"/>
      </w:pPr>
      <w:r>
        <w:rPr>
          <w:rFonts w:ascii="Arial" w:cs="Arial" w:eastAsia="Arial" w:hAnsi="Arial"/>
          <w:b/>
          <w:bCs/>
          <w:color w:val="1F2937"/>
          <w:sz w:val="28"/>
          <w:szCs w:val="28"/>
        </w:rPr>
        <w:t xml:space="preserve">2.9 Real estate plays adjacent to DC clusters</w:t>
      </w:r>
    </w:p>
    <w:p>
      <w:pPr>
        <w:spacing w:after="60" w:before="60" w:line="300"/>
        <w:jc w:val="left"/>
      </w:pPr>
      <w:r>
        <w:rPr>
          <w:rFonts w:ascii="Arial" w:cs="Arial" w:eastAsia="Arial" w:hAnsi="Arial"/>
          <w:b w:val="false"/>
          <w:bCs w:val="false"/>
          <w:i w:val="false"/>
          <w:iCs w:val="false"/>
          <w:color w:val="1F2937"/>
          <w:sz w:val="20"/>
          <w:szCs w:val="20"/>
        </w:rPr>
        <w:t xml:space="preserve">Industrial REITs and land-bank companies near established DC clusters benefited from price appreciation in adjacent acreage. This is a small but specific opportunity set. The names that participated meaningfully are limited.</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1200"/>
        <w:gridCol w:w="6280"/>
      </w:tblGrid>
      <w:tr>
        <w:trPr>
          <w:tblHeader/>
        </w:trPr>
        <w:tc>
          <w:tcPr>
            <w:tcW w:type="dxa" w:w="170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Company</w:t>
            </w:r>
          </w:p>
        </w:tc>
        <w:tc>
          <w:tcPr>
            <w:tcW w:type="dxa" w:w="90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Ticker</w:t>
            </w:r>
          </w:p>
        </w:tc>
        <w:tc>
          <w:tcPr>
            <w:tcW w:type="dxa" w:w="120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Tier</w:t>
            </w:r>
          </w:p>
        </w:tc>
        <w:tc>
          <w:tcPr>
            <w:tcW w:type="dxa" w:w="628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Exposure</w:t>
            </w:r>
          </w:p>
        </w:tc>
      </w:tr>
      <w:tr>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Prologis</w:t>
            </w:r>
          </w:p>
        </w:tc>
        <w:tc>
          <w:tcPr>
            <w:tcW w:type="dxa" w:w="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PLD</w:t>
            </w:r>
          </w:p>
        </w:tc>
        <w:tc>
          <w:tcPr>
            <w:tcW w:type="dxa" w:w="1200"/>
            <w:tcBorders>
              <w:top w:val="single" w:color="D1D5DB" w:sz="4"/>
              <w:left w:val="single" w:color="D1D5DB" w:sz="4"/>
              <w:bottom w:val="single" w:color="D1D5DB" w:sz="4"/>
              <w:right w:val="single" w:color="D1D5DB" w:sz="4"/>
            </w:tcBorders>
            <w:shd w:fill="FEF3C7"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B · Picking up</w:t>
            </w:r>
          </w:p>
        </w:tc>
        <w:tc>
          <w:tcPr>
            <w:tcW w:type="dxa" w:w="62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Largest industrial REIT; pivoting selectively into DC adjacency; ~2 GW DC development pipeline announced; partial mix</w:t>
            </w:r>
          </w:p>
        </w:tc>
      </w:tr>
      <w:tr>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Public Storage</w:t>
            </w:r>
          </w:p>
        </w:tc>
        <w:tc>
          <w:tcPr>
            <w:tcW w:type="dxa" w:w="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PSA</w:t>
            </w:r>
          </w:p>
        </w:tc>
        <w:tc>
          <w:tcPr>
            <w:tcW w:type="dxa" w:w="1200"/>
            <w:tcBorders>
              <w:top w:val="single" w:color="D1D5DB" w:sz="4"/>
              <w:left w:val="single" w:color="D1D5DB" w:sz="4"/>
              <w:bottom w:val="single" w:color="D1D5DB" w:sz="4"/>
              <w:right w:val="single" w:color="D1D5DB" w:sz="4"/>
            </w:tcBorders>
            <w:shd w:fill="D1FAE5"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C · No DC alpha</w:t>
            </w:r>
          </w:p>
        </w:tc>
        <w:tc>
          <w:tcPr>
            <w:tcW w:type="dxa" w:w="62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Self-storage REIT; no meaningful DC angle, listed for completeness</w:t>
            </w:r>
          </w:p>
        </w:tc>
      </w:tr>
      <w:tr>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Lineage Inc</w:t>
            </w:r>
          </w:p>
        </w:tc>
        <w:tc>
          <w:tcPr>
            <w:tcW w:type="dxa" w:w="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LINE</w:t>
            </w:r>
          </w:p>
        </w:tc>
        <w:tc>
          <w:tcPr>
            <w:tcW w:type="dxa" w:w="1200"/>
            <w:tcBorders>
              <w:top w:val="single" w:color="D1D5DB" w:sz="4"/>
              <w:left w:val="single" w:color="D1D5DB" w:sz="4"/>
              <w:bottom w:val="single" w:color="D1D5DB" w:sz="4"/>
              <w:right w:val="single" w:color="D1D5DB" w:sz="4"/>
            </w:tcBorders>
            <w:shd w:fill="D1FAE5"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C · No DC alpha</w:t>
            </w:r>
          </w:p>
        </w:tc>
        <w:tc>
          <w:tcPr>
            <w:tcW w:type="dxa" w:w="62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Cold-storage REIT IPO Jul 2024; not DC but example of infra-asset listing</w:t>
            </w:r>
          </w:p>
        </w:tc>
      </w:tr>
      <w:tr>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Tract (DC land developer)</w:t>
            </w:r>
          </w:p>
        </w:tc>
        <w:tc>
          <w:tcPr>
            <w:tcW w:type="dxa" w:w="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iCs/>
                <w:color w:val="1F2937"/>
                <w:sz w:val="18"/>
                <w:szCs w:val="18"/>
              </w:rPr>
              <w:t xml:space="preserve">(pvt)</w:t>
            </w:r>
          </w:p>
        </w:tc>
        <w:tc>
          <w:tcPr>
            <w:tcW w:type="dxa" w:w="12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Private</w:t>
            </w:r>
          </w:p>
        </w:tc>
        <w:tc>
          <w:tcPr>
            <w:tcW w:type="dxa" w:w="62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Pure-play DC-ready land assembly; private</w:t>
            </w:r>
          </w:p>
        </w:tc>
      </w:tr>
      <w:tr>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PowerHouse Data Centers</w:t>
            </w:r>
          </w:p>
        </w:tc>
        <w:tc>
          <w:tcPr>
            <w:tcW w:type="dxa" w:w="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iCs/>
                <w:color w:val="1F2937"/>
                <w:sz w:val="18"/>
                <w:szCs w:val="18"/>
              </w:rPr>
              <w:t xml:space="preserve">(pvt)</w:t>
            </w:r>
          </w:p>
        </w:tc>
        <w:tc>
          <w:tcPr>
            <w:tcW w:type="dxa" w:w="12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Private</w:t>
            </w:r>
          </w:p>
        </w:tc>
        <w:tc>
          <w:tcPr>
            <w:tcW w:type="dxa" w:w="62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Wholesale DC operator + land bank; private</w:t>
            </w:r>
          </w:p>
        </w:tc>
      </w:tr>
    </w:tbl>
    <w:p>
      <w:pPr>
        <w:spacing w:after="0" w:before="120"/>
      </w:pPr>
    </w:p>
    <w:p>
      <w:r>
        <w:br w:type="page"/>
      </w:r>
    </w:p>
    <w:p>
      <w:pPr>
        <w:pStyle w:val="Heading2"/>
        <w:spacing w:after="160" w:before="360"/>
      </w:pPr>
      <w:r>
        <w:rPr>
          <w:rFonts w:ascii="Arial" w:cs="Arial" w:eastAsia="Arial" w:hAnsi="Arial"/>
          <w:b/>
          <w:bCs/>
          <w:color w:val="1F2937"/>
          <w:sz w:val="28"/>
          <w:szCs w:val="28"/>
        </w:rPr>
        <w:t xml:space="preserve">2.10 GPU asset owners and AI infrastructure financiers</w:t>
      </w:r>
    </w:p>
    <w:p>
      <w:pPr>
        <w:spacing w:after="60" w:before="60" w:line="300"/>
        <w:jc w:val="left"/>
      </w:pPr>
      <w:r>
        <w:rPr>
          <w:rFonts w:ascii="Arial" w:cs="Arial" w:eastAsia="Arial" w:hAnsi="Arial"/>
          <w:b w:val="false"/>
          <w:bCs w:val="false"/>
          <w:i w:val="false"/>
          <w:iCs w:val="false"/>
          <w:color w:val="1F2937"/>
          <w:sz w:val="20"/>
          <w:szCs w:val="20"/>
        </w:rPr>
        <w:t xml:space="preserve">A distinct financing layer emerged in 2023-25 around GPU-asset-backed lending. The thesis is that NVIDIA GPUs are a depreciating asset with a useful life and a residual value, and therefore are bankable collateral. CoreWeave was the first to formalize this with the Blackstone $7.5 billion facility (May 2024). Several follow-on structures emerged.</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300"/>
        <w:gridCol w:w="6080"/>
      </w:tblGrid>
      <w:tr>
        <w:trPr>
          <w:tblHeader/>
        </w:trPr>
        <w:tc>
          <w:tcPr>
            <w:tcW w:type="dxa" w:w="180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Player</w:t>
            </w:r>
          </w:p>
        </w:tc>
        <w:tc>
          <w:tcPr>
            <w:tcW w:type="dxa" w:w="90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Listed via</w:t>
            </w:r>
          </w:p>
        </w:tc>
        <w:tc>
          <w:tcPr>
            <w:tcW w:type="dxa" w:w="130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Tier</w:t>
            </w:r>
          </w:p>
        </w:tc>
        <w:tc>
          <w:tcPr>
            <w:tcW w:type="dxa" w:w="608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Structure / story</w:t>
            </w:r>
          </w:p>
        </w:tc>
      </w:tr>
      <w:tr>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Blackstone</w:t>
            </w:r>
          </w:p>
        </w:tc>
        <w:tc>
          <w:tcPr>
            <w:tcW w:type="dxa" w:w="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BX</w:t>
            </w:r>
          </w:p>
        </w:tc>
        <w:tc>
          <w:tcPr>
            <w:tcW w:type="dxa" w:w="1300"/>
            <w:tcBorders>
              <w:top w:val="single" w:color="D1D5DB" w:sz="4"/>
              <w:left w:val="single" w:color="D1D5DB" w:sz="4"/>
              <w:bottom w:val="single" w:color="D1D5DB" w:sz="4"/>
              <w:right w:val="single" w:color="D1D5DB" w:sz="4"/>
            </w:tcBorders>
            <w:shd w:fill="FEF3C7"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B · Picking up</w:t>
            </w:r>
          </w:p>
        </w:tc>
        <w:tc>
          <w:tcPr>
            <w:tcW w:type="dxa" w:w="60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$7.5B GPU-backed debt facility for CoreWeave; QTS DC platform owner; AI-infra strategy is the marquee theme</w:t>
            </w:r>
          </w:p>
        </w:tc>
      </w:tr>
      <w:tr>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Apollo Global</w:t>
            </w:r>
          </w:p>
        </w:tc>
        <w:tc>
          <w:tcPr>
            <w:tcW w:type="dxa" w:w="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APO</w:t>
            </w:r>
          </w:p>
        </w:tc>
        <w:tc>
          <w:tcPr>
            <w:tcW w:type="dxa" w:w="1300"/>
            <w:tcBorders>
              <w:top w:val="single" w:color="D1D5DB" w:sz="4"/>
              <w:left w:val="single" w:color="D1D5DB" w:sz="4"/>
              <w:bottom w:val="single" w:color="D1D5DB" w:sz="4"/>
              <w:right w:val="single" w:color="D1D5DB" w:sz="4"/>
            </w:tcBorders>
            <w:shd w:fill="FEF3C7"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B · Picking up</w:t>
            </w:r>
          </w:p>
        </w:tc>
        <w:tc>
          <w:tcPr>
            <w:tcW w:type="dxa" w:w="60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DC + power infra investments through ATLAS SP and Athene</w:t>
            </w:r>
          </w:p>
        </w:tc>
      </w:tr>
      <w:tr>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KKR</w:t>
            </w:r>
          </w:p>
        </w:tc>
        <w:tc>
          <w:tcPr>
            <w:tcW w:type="dxa" w:w="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KKR</w:t>
            </w:r>
          </w:p>
        </w:tc>
        <w:tc>
          <w:tcPr>
            <w:tcW w:type="dxa" w:w="1300"/>
            <w:tcBorders>
              <w:top w:val="single" w:color="D1D5DB" w:sz="4"/>
              <w:left w:val="single" w:color="D1D5DB" w:sz="4"/>
              <w:bottom w:val="single" w:color="D1D5DB" w:sz="4"/>
              <w:right w:val="single" w:color="D1D5DB" w:sz="4"/>
            </w:tcBorders>
            <w:shd w:fill="FEF3C7"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B · Picking up</w:t>
            </w:r>
          </w:p>
        </w:tc>
        <w:tc>
          <w:tcPr>
            <w:tcW w:type="dxa" w:w="60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CyrusOne owner; GIP partnership for $50B AI infrastructure announced Sep 2024 with Microsoft + MGX</w:t>
            </w:r>
          </w:p>
        </w:tc>
      </w:tr>
      <w:tr>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DigitalBridge</w:t>
            </w:r>
          </w:p>
        </w:tc>
        <w:tc>
          <w:tcPr>
            <w:tcW w:type="dxa" w:w="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DBRG</w:t>
            </w:r>
          </w:p>
        </w:tc>
        <w:tc>
          <w:tcPr>
            <w:tcW w:type="dxa" w:w="1300"/>
            <w:tcBorders>
              <w:top w:val="single" w:color="D1D5DB" w:sz="4"/>
              <w:left w:val="single" w:color="D1D5DB" w:sz="4"/>
              <w:bottom w:val="single" w:color="D1D5DB" w:sz="4"/>
              <w:right w:val="single" w:color="D1D5DB" w:sz="4"/>
            </w:tcBorders>
            <w:shd w:fill="D1FAE5"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C · No DC alpha</w:t>
            </w:r>
          </w:p>
        </w:tc>
        <w:tc>
          <w:tcPr>
            <w:tcW w:type="dxa" w:w="60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Pure-play digital infra asset manager; Vantage, DataBank, Zayo holdings; surprisingly muted stock response</w:t>
            </w:r>
          </w:p>
        </w:tc>
      </w:tr>
      <w:tr>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Brookfield Asset Mgmt</w:t>
            </w:r>
          </w:p>
        </w:tc>
        <w:tc>
          <w:tcPr>
            <w:tcW w:type="dxa" w:w="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BAM</w:t>
            </w:r>
          </w:p>
        </w:tc>
        <w:tc>
          <w:tcPr>
            <w:tcW w:type="dxa" w:w="1300"/>
            <w:tcBorders>
              <w:top w:val="single" w:color="D1D5DB" w:sz="4"/>
              <w:left w:val="single" w:color="D1D5DB" w:sz="4"/>
              <w:bottom w:val="single" w:color="D1D5DB" w:sz="4"/>
              <w:right w:val="single" w:color="D1D5DB" w:sz="4"/>
            </w:tcBorders>
            <w:shd w:fill="FEF3C7"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B · Picking up</w:t>
            </w:r>
          </w:p>
        </w:tc>
        <w:tc>
          <w:tcPr>
            <w:tcW w:type="dxa" w:w="60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Compass DC stake; Cologix acquisition; Microsoft 10.5 GW renewables PPA</w:t>
            </w:r>
          </w:p>
        </w:tc>
      </w:tr>
      <w:tr>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Macquarie Infrastructure Partners</w:t>
            </w:r>
          </w:p>
        </w:tc>
        <w:tc>
          <w:tcPr>
            <w:tcW w:type="dxa" w:w="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MQG-AU</w:t>
            </w:r>
          </w:p>
        </w:tc>
        <w:tc>
          <w:tcPr>
            <w:tcW w:type="dxa" w:w="1300"/>
            <w:tcBorders>
              <w:top w:val="single" w:color="D1D5DB" w:sz="4"/>
              <w:left w:val="single" w:color="D1D5DB" w:sz="4"/>
              <w:bottom w:val="single" w:color="D1D5DB" w:sz="4"/>
              <w:right w:val="single" w:color="D1D5DB" w:sz="4"/>
            </w:tcBorders>
            <w:shd w:fill="FEF3C7"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B · Picking up</w:t>
            </w:r>
          </w:p>
        </w:tc>
        <w:tc>
          <w:tcPr>
            <w:tcW w:type="dxa" w:w="60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Aligned Data Centers + Applied Digital financing</w:t>
            </w:r>
          </w:p>
        </w:tc>
      </w:tr>
      <w:tr>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GIP (Global Infra Partners)</w:t>
            </w:r>
          </w:p>
        </w:tc>
        <w:tc>
          <w:tcPr>
            <w:tcW w:type="dxa" w:w="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iCs/>
                <w:color w:val="1F2937"/>
                <w:sz w:val="18"/>
                <w:szCs w:val="18"/>
              </w:rPr>
              <w:t xml:space="preserve">(via BLK)</w:t>
            </w:r>
          </w:p>
        </w:tc>
        <w:tc>
          <w:tcPr>
            <w:tcW w:type="dxa" w:w="13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Private</w:t>
            </w:r>
          </w:p>
        </w:tc>
        <w:tc>
          <w:tcPr>
            <w:tcW w:type="dxa" w:w="60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Acquired by BlackRock Jan 2024 for $12.5B; $50B AI infrastructure JV with MSFT</w:t>
            </w:r>
          </w:p>
        </w:tc>
      </w:tr>
      <w:tr>
        <w:tc>
          <w:tcPr>
            <w:tcW w:type="dxa" w:w="18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Stonepeak</w:t>
            </w:r>
          </w:p>
        </w:tc>
        <w:tc>
          <w:tcPr>
            <w:tcW w:type="dxa" w:w="9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iCs/>
                <w:color w:val="1F2937"/>
                <w:sz w:val="18"/>
                <w:szCs w:val="18"/>
              </w:rPr>
              <w:t xml:space="preserve">(pvt)</w:t>
            </w:r>
          </w:p>
        </w:tc>
        <w:tc>
          <w:tcPr>
            <w:tcW w:type="dxa" w:w="13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Private</w:t>
            </w:r>
          </w:p>
        </w:tc>
        <w:tc>
          <w:tcPr>
            <w:tcW w:type="dxa" w:w="60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Cologix owner; private</w:t>
            </w:r>
          </w:p>
        </w:tc>
      </w:tr>
    </w:tbl>
    <w:p>
      <w:pPr>
        <w:spacing w:after="0" w:before="120"/>
      </w:pPr>
    </w:p>
    <w:p>
      <w:r>
        <w:br w:type="page"/>
      </w:r>
    </w:p>
    <w:p>
      <w:pPr>
        <w:pStyle w:val="Heading1"/>
        <w:spacing w:after="200" w:before="480"/>
      </w:pPr>
      <w:r>
        <w:rPr>
          <w:rFonts w:ascii="Arial" w:cs="Arial" w:eastAsia="Arial" w:hAnsi="Arial"/>
          <w:b/>
          <w:bCs/>
          <w:color w:val="1F2937"/>
          <w:sz w:val="36"/>
          <w:szCs w:val="36"/>
        </w:rPr>
        <w:t xml:space="preserve">3. Why the asset owners made money — the structural reasons</w:t>
      </w:r>
    </w:p>
    <w:p>
      <w:pPr>
        <w:spacing w:after="60" w:before="60" w:line="300"/>
        <w:jc w:val="left"/>
      </w:pPr>
      <w:r>
        <w:rPr>
          <w:rFonts w:ascii="Arial" w:cs="Arial" w:eastAsia="Arial" w:hAnsi="Arial"/>
          <w:b w:val="false"/>
          <w:bCs w:val="false"/>
          <w:i w:val="false"/>
          <w:iCs w:val="false"/>
          <w:color w:val="1F2937"/>
          <w:sz w:val="20"/>
          <w:szCs w:val="20"/>
        </w:rPr>
        <w:t xml:space="preserve">The asset-owner cohort that monetized this cycle did so through a small number of repeatable structural mechanisms. Understanding these is the prerequisite to mapping the Indian universe correctly.</w:t>
      </w:r>
    </w:p>
    <w:p>
      <w:pPr>
        <w:pStyle w:val="Heading3"/>
        <w:spacing w:after="120" w:before="280"/>
      </w:pPr>
      <w:r>
        <w:rPr>
          <w:rFonts w:ascii="Arial" w:cs="Arial" w:eastAsia="Arial" w:hAnsi="Arial"/>
          <w:b/>
          <w:bCs/>
          <w:color w:val="2563EB"/>
          <w:sz w:val="24"/>
          <w:szCs w:val="24"/>
        </w:rPr>
        <w:t xml:space="preserve">Reason 1 — Inherited site optionality could not be replicated</w:t>
      </w:r>
    </w:p>
    <w:p>
      <w:pPr>
        <w:spacing w:after="60" w:before="60" w:line="300"/>
        <w:jc w:val="left"/>
      </w:pPr>
      <w:r>
        <w:rPr>
          <w:rFonts w:ascii="Arial" w:cs="Arial" w:eastAsia="Arial" w:hAnsi="Arial"/>
          <w:b w:val="false"/>
          <w:bCs w:val="false"/>
          <w:i w:val="false"/>
          <w:iCs w:val="false"/>
          <w:color w:val="1F2937"/>
          <w:sz w:val="20"/>
          <w:szCs w:val="20"/>
        </w:rPr>
        <w:t xml:space="preserve">The single most important moat across the entire cycle was ownership of an existing site with three things stacked together: (a) developable land adjacent to a power source, (b) grandfathered grid interconnection rights for hundreds of megawatts, and (c) regulatory permission to operate. New build of any of these three takes 3-7 years in the US. New nuclear takes 12+. Talen, Constellation, Vistra, Core Scientific, IREN, Applied Digital, and the BTC-miner cohort all owned versions of this stack from earlier business cycles (bankruptcy, BTC mining build-out, energy sector consolidation). The DC boom found them already there. Capital could not buy what they already owned.</w:t>
      </w:r>
    </w:p>
    <w:p>
      <w:pPr>
        <w:pStyle w:val="Heading3"/>
        <w:spacing w:after="120" w:before="280"/>
      </w:pPr>
      <w:r>
        <w:rPr>
          <w:rFonts w:ascii="Arial" w:cs="Arial" w:eastAsia="Arial" w:hAnsi="Arial"/>
          <w:b/>
          <w:bCs/>
          <w:color w:val="2563EB"/>
          <w:sz w:val="24"/>
          <w:szCs w:val="24"/>
        </w:rPr>
        <w:t xml:space="preserve">Reason 2 — Contracted revenue at premium pricing</w:t>
      </w:r>
    </w:p>
    <w:p>
      <w:pPr>
        <w:spacing w:after="60" w:before="60" w:line="300"/>
        <w:jc w:val="left"/>
      </w:pPr>
      <w:r>
        <w:rPr>
          <w:rFonts w:ascii="Arial" w:cs="Arial" w:eastAsia="Arial" w:hAnsi="Arial"/>
          <w:b w:val="false"/>
          <w:bCs w:val="false"/>
          <w:i w:val="false"/>
          <w:iCs w:val="false"/>
          <w:color w:val="1F2937"/>
          <w:sz w:val="20"/>
          <w:szCs w:val="20"/>
        </w:rPr>
        <w:t xml:space="preserve">The deals that ignited the cycle (Talen-AWS Mar 2024, Microsoft-TMI Sep 2024, Microsoft-Three Mile Island, CoreWeave-Microsoft) all shared a feature: they were long-duration take-or-pay style contracts at premium pricing relative to spot. The merchant nuclear plants in particular went from selling power at $40-55/MWh into PJM to selling power at $100-120/MWh under PPA. The duration of the contract (15-20 years) plus the spread to spot is what allowed the discounted-cash-flow rerate.</w:t>
      </w:r>
    </w:p>
    <w:p>
      <w:pPr>
        <w:pStyle w:val="Heading3"/>
        <w:spacing w:after="120" w:before="280"/>
      </w:pPr>
      <w:r>
        <w:rPr>
          <w:rFonts w:ascii="Arial" w:cs="Arial" w:eastAsia="Arial" w:hAnsi="Arial"/>
          <w:b/>
          <w:bCs/>
          <w:color w:val="2563EB"/>
          <w:sz w:val="24"/>
          <w:szCs w:val="24"/>
        </w:rPr>
        <w:t xml:space="preserve">Reason 3 — GPU supply scarcity created neocloud pricing power</w:t>
      </w:r>
    </w:p>
    <w:p>
      <w:pPr>
        <w:spacing w:after="60" w:before="60" w:line="300"/>
        <w:jc w:val="left"/>
      </w:pPr>
      <w:r>
        <w:rPr>
          <w:rFonts w:ascii="Arial" w:cs="Arial" w:eastAsia="Arial" w:hAnsi="Arial"/>
          <w:b w:val="false"/>
          <w:bCs w:val="false"/>
          <w:i w:val="false"/>
          <w:iCs w:val="false"/>
          <w:color w:val="1F2937"/>
          <w:sz w:val="20"/>
          <w:szCs w:val="20"/>
        </w:rPr>
        <w:t xml:space="preserve">CoreWeave, IREN, and the neocloud cohort enjoyed pricing power that should not have existed in a normal cloud-services market. The reason: NVIDIA actively rationed GPU allocation away from hyperscalers (who would eventually compete with NVIDIA via custom silicon) and toward independent buyers (who would not). This artificial supply restriction allowed the neoclouds to capture spread between NVIDIA wholesale cost and rental rate. The trade lives or dies on whether GPU supply remains constrained — that is the key fragility of the cohort.</w:t>
      </w:r>
    </w:p>
    <w:p>
      <w:pPr>
        <w:pStyle w:val="Heading3"/>
        <w:spacing w:after="120" w:before="280"/>
      </w:pPr>
      <w:r>
        <w:rPr>
          <w:rFonts w:ascii="Arial" w:cs="Arial" w:eastAsia="Arial" w:hAnsi="Arial"/>
          <w:b/>
          <w:bCs/>
          <w:color w:val="2563EB"/>
          <w:sz w:val="24"/>
          <w:szCs w:val="24"/>
        </w:rPr>
        <w:t xml:space="preserve">Reason 4 — Capital structure leverage</w:t>
      </w:r>
    </w:p>
    <w:p>
      <w:pPr>
        <w:spacing w:after="60" w:before="60" w:line="300"/>
        <w:jc w:val="left"/>
      </w:pPr>
      <w:r>
        <w:rPr>
          <w:rFonts w:ascii="Arial" w:cs="Arial" w:eastAsia="Arial" w:hAnsi="Arial"/>
          <w:b w:val="false"/>
          <w:bCs w:val="false"/>
          <w:i w:val="false"/>
          <w:iCs w:val="false"/>
          <w:color w:val="1F2937"/>
          <w:sz w:val="20"/>
          <w:szCs w:val="20"/>
        </w:rPr>
        <w:t xml:space="preserve">The most extreme rerates (Talen 13x stock, CoreWeave from $40 to $80, Core Scientific from sub-$1 to $20+) all featured high financial leverage on the equity. Talen had emerged from bankruptcy in 2022 with significant debt; as enterprise value expanded 3x, equity expanded 13x. CoreWeave used GPU-backed debt to fund expansion. Core Scientific used pre-bankruptcy debt restructured through Chapter 11. The cohort that captured the largest equity returns was the cohort that took the most balance sheet risk going in. This is the asymmetric-payoff feature that ran the cycle.</w:t>
      </w:r>
    </w:p>
    <w:p>
      <w:pPr>
        <w:pStyle w:val="Heading3"/>
        <w:spacing w:after="120" w:before="280"/>
      </w:pPr>
      <w:r>
        <w:rPr>
          <w:rFonts w:ascii="Arial" w:cs="Arial" w:eastAsia="Arial" w:hAnsi="Arial"/>
          <w:b/>
          <w:bCs/>
          <w:color w:val="2563EB"/>
          <w:sz w:val="24"/>
          <w:szCs w:val="24"/>
        </w:rPr>
        <w:t xml:space="preserve">Reason 5 — Hyperscaler procurement strategy concentration</w:t>
      </w:r>
    </w:p>
    <w:p>
      <w:pPr>
        <w:spacing w:after="60" w:before="60" w:line="300"/>
        <w:jc w:val="left"/>
      </w:pPr>
      <w:r>
        <w:rPr>
          <w:rFonts w:ascii="Arial" w:cs="Arial" w:eastAsia="Arial" w:hAnsi="Arial"/>
          <w:b w:val="false"/>
          <w:bCs w:val="false"/>
          <w:i w:val="false"/>
          <w:iCs w:val="false"/>
          <w:color w:val="1F2937"/>
          <w:sz w:val="20"/>
          <w:szCs w:val="20"/>
        </w:rPr>
        <w:t xml:space="preserve">Each hyperscaler concentrated procurement in 5-15 favored counterparties for large deals. Microsoft signed with Talen, Constellation, CoreWeave, Bloom, Vantage. Amazon signed with Talen, Vistra, Iron Mountain, NextEra (renewables). Google signed with Brookfield, NextEra, Iron Mountain. Meta signed with Entergy, Engie, Constellation. The concentration meant that hitting one of these procurement lists was binary — and being on a hyperscaler's preferred-counterparty list became the marker that defined which asset owners participated and which did not. Counterparty status was largely determined by existing relationships, scale, and the ability to commit to multi-billion-dollar projects — not by being the cheapest provider.</w:t>
      </w:r>
    </w:p>
    <w:p>
      <w:pPr>
        <w:pStyle w:val="Heading3"/>
        <w:spacing w:after="120" w:before="280"/>
      </w:pPr>
      <w:r>
        <w:rPr>
          <w:rFonts w:ascii="Arial" w:cs="Arial" w:eastAsia="Arial" w:hAnsi="Arial"/>
          <w:b/>
          <w:bCs/>
          <w:color w:val="2563EB"/>
          <w:sz w:val="24"/>
          <w:szCs w:val="24"/>
        </w:rPr>
        <w:t xml:space="preserve">Reason 6 — Speed-to-power as a primary procurement criterion</w:t>
      </w:r>
    </w:p>
    <w:p>
      <w:pPr>
        <w:spacing w:after="60" w:before="60" w:line="300"/>
        <w:jc w:val="left"/>
      </w:pPr>
      <w:r>
        <w:rPr>
          <w:rFonts w:ascii="Arial" w:cs="Arial" w:eastAsia="Arial" w:hAnsi="Arial"/>
          <w:b w:val="false"/>
          <w:bCs w:val="false"/>
          <w:i w:val="false"/>
          <w:iCs w:val="false"/>
          <w:color w:val="1F2937"/>
          <w:sz w:val="20"/>
          <w:szCs w:val="20"/>
        </w:rPr>
        <w:t xml:space="preserve">Hyperscalers in 2023-25 prioritized speed over cost. The metric internally referred to as 'speed to power' (the time from contract signing to having functional DC capacity operating) became the binding constraint. Existing sites with grid interconnection could deliver 6-12 months. New build in PJM took 4-7 years. This created a willingness to pay premium pricing for fast-delivery capacity. CoreWeave's value proposition to Microsoft was speed-to-power in addition to capacity. IREN's value proposition was the same. Speed mattered because hyperscaler customer commitments were locked in and capacity shortfall meant lost revenue.</w:t>
      </w:r>
    </w:p>
    <w:p>
      <w:pPr>
        <w:pStyle w:val="Heading3"/>
        <w:spacing w:after="120" w:before="280"/>
      </w:pPr>
      <w:r>
        <w:rPr>
          <w:rFonts w:ascii="Arial" w:cs="Arial" w:eastAsia="Arial" w:hAnsi="Arial"/>
          <w:b/>
          <w:bCs/>
          <w:color w:val="2563EB"/>
          <w:sz w:val="24"/>
          <w:szCs w:val="24"/>
        </w:rPr>
        <w:t xml:space="preserve">Reason 7 — The infrastructure-fund consolidation hangover</w:t>
      </w:r>
    </w:p>
    <w:p>
      <w:pPr>
        <w:spacing w:after="60" w:before="60" w:line="300"/>
        <w:jc w:val="left"/>
      </w:pPr>
      <w:r>
        <w:rPr>
          <w:rFonts w:ascii="Arial" w:cs="Arial" w:eastAsia="Arial" w:hAnsi="Arial"/>
          <w:b w:val="false"/>
          <w:bCs w:val="false"/>
          <w:i w:val="false"/>
          <w:iCs w:val="false"/>
          <w:color w:val="1F2937"/>
          <w:sz w:val="20"/>
          <w:szCs w:val="20"/>
        </w:rPr>
        <w:t xml:space="preserve">Before the cycle started, private infrastructure funds (Blackstone, KKR, GIP, DigitalBridge, Brookfield, Stonepeak) had consolidated most of the US wholesale DC market into private ownership. QTS, CyrusOne, Vantage, Aligned, Stack, Compass, Flexential — all private. This meant the listed asset-owner universe entering the rerate was structurally thin: only Digital Realty, Equinix, and Iron Mountain on the wholesale side. The scarcity itself drove multiple expansion on the survivors.</w:t>
      </w:r>
    </w:p>
    <w:p>
      <w:r>
        <w:br w:type="page"/>
      </w:r>
    </w:p>
    <w:p>
      <w:pPr>
        <w:pStyle w:val="Heading1"/>
        <w:spacing w:after="200" w:before="480"/>
      </w:pPr>
      <w:r>
        <w:rPr>
          <w:rFonts w:ascii="Arial" w:cs="Arial" w:eastAsia="Arial" w:hAnsi="Arial"/>
          <w:b/>
          <w:bCs/>
          <w:color w:val="1F2937"/>
          <w:sz w:val="36"/>
          <w:szCs w:val="36"/>
        </w:rPr>
        <w:t xml:space="preserve">4. India mirror map — segment-by-segment</w:t>
      </w:r>
    </w:p>
    <w:p>
      <w:pPr>
        <w:spacing w:after="60" w:before="60" w:line="300"/>
        <w:jc w:val="left"/>
      </w:pPr>
      <w:r>
        <w:rPr>
          <w:rFonts w:ascii="Arial" w:cs="Arial" w:eastAsia="Arial" w:hAnsi="Arial"/>
          <w:b w:val="false"/>
          <w:bCs w:val="false"/>
          <w:i w:val="false"/>
          <w:iCs w:val="false"/>
          <w:color w:val="1F2937"/>
          <w:sz w:val="20"/>
          <w:szCs w:val="20"/>
        </w:rPr>
        <w:t xml:space="preserve">This section maps each US asset-owner segment to its closest Indian equivalent. The mapping is deliberately exhaustive: every Indian listed name with material exposure to the segment is included. Where no listed equivalent exists, this is called out as a structural gap. The mapping uses the same tiering as the US side.</w:t>
      </w:r>
    </w:p>
    <w:p>
      <w:pPr>
        <w:pStyle w:val="Heading2"/>
        <w:spacing w:after="160" w:before="360"/>
      </w:pPr>
      <w:r>
        <w:rPr>
          <w:rFonts w:ascii="Arial" w:cs="Arial" w:eastAsia="Arial" w:hAnsi="Arial"/>
          <w:b/>
          <w:bCs/>
          <w:color w:val="1F2937"/>
          <w:sz w:val="28"/>
          <w:szCs w:val="28"/>
        </w:rPr>
        <w:t xml:space="preserve">4.1 Hyperscale self-build → Indian equivalent</w:t>
      </w:r>
    </w:p>
    <w:p>
      <w:pPr>
        <w:spacing w:after="60" w:before="60" w:line="300"/>
        <w:jc w:val="left"/>
      </w:pPr>
      <w:r>
        <w:rPr>
          <w:rFonts w:ascii="Arial" w:cs="Arial" w:eastAsia="Arial" w:hAnsi="Arial"/>
          <w:b w:val="false"/>
          <w:bCs w:val="false"/>
          <w:i w:val="false"/>
          <w:iCs w:val="false"/>
          <w:color w:val="1F2937"/>
          <w:sz w:val="20"/>
          <w:szCs w:val="20"/>
        </w:rPr>
        <w:t xml:space="preserve">There is no Indian listed equivalent of Microsoft, Amazon, Google, Meta, Oracle in the cloud-hyperscale sense. The closest analogues are the three groups that have announced indigenous AI-cloud / DC ambitions, none of which is a true global hyperscaler:</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4880"/>
      </w:tblGrid>
      <w:tr>
        <w:trPr>
          <w:tblHeader/>
        </w:trPr>
        <w:tc>
          <w:tcPr>
            <w:tcW w:type="dxa" w:w="220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US name</w:t>
            </w:r>
          </w:p>
        </w:tc>
        <w:tc>
          <w:tcPr>
            <w:tcW w:type="dxa" w:w="150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India mirror</w:t>
            </w:r>
          </w:p>
        </w:tc>
        <w:tc>
          <w:tcPr>
            <w:tcW w:type="dxa" w:w="150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Tier</w:t>
            </w:r>
          </w:p>
        </w:tc>
        <w:tc>
          <w:tcPr>
            <w:tcW w:type="dxa" w:w="488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Reasoning and gap</w:t>
            </w:r>
          </w:p>
        </w:tc>
      </w:tr>
      <w:tr>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Microsoft / Amazon / Google</w:t>
            </w:r>
          </w:p>
        </w:tc>
        <w:tc>
          <w:tcPr>
            <w:tcW w:type="dxa" w:w="15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Reliance Industries (RIL)</w:t>
            </w:r>
          </w:p>
        </w:tc>
        <w:tc>
          <w:tcPr>
            <w:tcW w:type="dxa" w:w="15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A · Already run</w:t>
            </w:r>
          </w:p>
        </w:tc>
        <w:tc>
          <w:tcPr>
            <w:tcW w:type="dxa" w:w="48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Jio AI Cloud + NVIDIA partnership Oct 2024; Jamnagar AI-Giga campus 1 GW announced; closest Indian hyperscaler analogue but mass-market AI cloud strategy still developing</w:t>
            </w:r>
          </w:p>
        </w:tc>
      </w:tr>
      <w:tr>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Microsoft / Amazon / Google</w:t>
            </w:r>
          </w:p>
        </w:tc>
        <w:tc>
          <w:tcPr>
            <w:tcW w:type="dxa" w:w="15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Adani Enterprises</w:t>
            </w:r>
          </w:p>
        </w:tc>
        <w:tc>
          <w:tcPr>
            <w:tcW w:type="dxa" w:w="1500"/>
            <w:tcBorders>
              <w:top w:val="single" w:color="D1D5DB" w:sz="4"/>
              <w:left w:val="single" w:color="D1D5DB" w:sz="4"/>
              <w:bottom w:val="single" w:color="D1D5DB" w:sz="4"/>
              <w:right w:val="single" w:color="D1D5DB" w:sz="4"/>
            </w:tcBorders>
            <w:shd w:fill="FEF3C7"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B · Picking up</w:t>
            </w:r>
          </w:p>
        </w:tc>
        <w:tc>
          <w:tcPr>
            <w:tcW w:type="dxa" w:w="48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AdaniConneX JV with EdgeConneX; 1 GW DC pipeline; Adani's hyperscaler-DC bet but operates more as wholesale colo provider than as hyperscaler</w:t>
            </w:r>
          </w:p>
        </w:tc>
      </w:tr>
      <w:tr>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Microsoft / Amazon / Google</w:t>
            </w:r>
          </w:p>
        </w:tc>
        <w:tc>
          <w:tcPr>
            <w:tcW w:type="dxa" w:w="15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iCs/>
                <w:color w:val="1F2937"/>
                <w:sz w:val="18"/>
                <w:szCs w:val="18"/>
              </w:rPr>
              <w:t xml:space="preserve">Tata Sons (unlisted parent)</w:t>
            </w:r>
          </w:p>
        </w:tc>
        <w:tc>
          <w:tcPr>
            <w:tcW w:type="dxa" w:w="15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Private</w:t>
            </w:r>
          </w:p>
        </w:tc>
        <w:tc>
          <w:tcPr>
            <w:tcW w:type="dxa" w:w="48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Indirect via Tata Communications (DC), Tata Electronics (chips), Tata Consultancy (services); but no consolidated 'Tata AI Cloud' analogue to MSFT exists today</w:t>
            </w:r>
          </w:p>
        </w:tc>
      </w:tr>
      <w:tr>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Oracle</w:t>
            </w:r>
          </w:p>
        </w:tc>
        <w:tc>
          <w:tcPr>
            <w:tcW w:type="dxa" w:w="15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iCs/>
                <w:color w:val="1F2937"/>
                <w:sz w:val="18"/>
                <w:szCs w:val="18"/>
              </w:rPr>
              <w:t xml:space="preserve">(structural gap)</w:t>
            </w:r>
          </w:p>
        </w:tc>
        <w:tc>
          <w:tcPr>
            <w:tcW w:type="dxa" w:w="15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w:t>
            </w:r>
          </w:p>
        </w:tc>
        <w:tc>
          <w:tcPr>
            <w:tcW w:type="dxa" w:w="48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No Indian enterprise-cloud play of Oracle's scale. Wipro, Infosys, TCS sell services on Oracle/AWS infra rather than competing with it.</w:t>
            </w:r>
          </w:p>
        </w:tc>
      </w:tr>
    </w:tbl>
    <w:p>
      <w:pPr>
        <w:spacing w:after="0" w:before="120"/>
      </w:pPr>
    </w:p>
    <w:p>
      <w:pPr>
        <w:pStyle w:val="Heading2"/>
        <w:spacing w:after="160" w:before="360"/>
      </w:pPr>
      <w:r>
        <w:rPr>
          <w:rFonts w:ascii="Arial" w:cs="Arial" w:eastAsia="Arial" w:hAnsi="Arial"/>
          <w:b/>
          <w:bCs/>
          <w:color w:val="1F2937"/>
          <w:sz w:val="28"/>
          <w:szCs w:val="28"/>
        </w:rPr>
        <w:t xml:space="preserve">4.2 Wholesale colocation REITs → India mirror</w:t>
      </w:r>
    </w:p>
    <w:p>
      <w:pPr>
        <w:spacing w:after="60" w:before="60" w:line="300"/>
        <w:jc w:val="left"/>
      </w:pPr>
      <w:r>
        <w:rPr>
          <w:rFonts w:ascii="Arial" w:cs="Arial" w:eastAsia="Arial" w:hAnsi="Arial"/>
          <w:b w:val="false"/>
          <w:bCs w:val="false"/>
          <w:i w:val="false"/>
          <w:iCs w:val="false"/>
          <w:color w:val="1F2937"/>
          <w:sz w:val="20"/>
          <w:szCs w:val="20"/>
        </w:rPr>
        <w:t xml:space="preserve">The Indian wholesale DC market is dominated by private operators. The two listed entry points are Anant Raj (pivoted from realty into DC build) and RailTel (PSU with DC business). The private universe is significantly larger and is the most relevant IPO pipeline category for the next 2 years.</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500"/>
        <w:gridCol w:w="4680"/>
      </w:tblGrid>
      <w:tr>
        <w:trPr>
          <w:tblHeader/>
        </w:trPr>
        <w:tc>
          <w:tcPr>
            <w:tcW w:type="dxa" w:w="220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US name</w:t>
            </w:r>
          </w:p>
        </w:tc>
        <w:tc>
          <w:tcPr>
            <w:tcW w:type="dxa" w:w="170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India mirror</w:t>
            </w:r>
          </w:p>
        </w:tc>
        <w:tc>
          <w:tcPr>
            <w:tcW w:type="dxa" w:w="150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Tier</w:t>
            </w:r>
          </w:p>
        </w:tc>
        <w:tc>
          <w:tcPr>
            <w:tcW w:type="dxa" w:w="468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Reasoning</w:t>
            </w:r>
          </w:p>
        </w:tc>
      </w:tr>
      <w:tr>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Digital Realty Trust</w:t>
            </w:r>
          </w:p>
        </w:tc>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Anant Raj</w:t>
            </w:r>
          </w:p>
        </w:tc>
        <w:tc>
          <w:tcPr>
            <w:tcW w:type="dxa" w:w="15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A · Already run</w:t>
            </w:r>
          </w:p>
        </w:tc>
        <w:tc>
          <w:tcPr>
            <w:tcW w:type="dxa" w:w="46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Realty co fully pivoted into DC build in NCR; 300+ MW pipeline announced; closest pure-play DC operator in listed Indian universe; ran 15-20x</w:t>
            </w:r>
          </w:p>
        </w:tc>
      </w:tr>
      <w:tr>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Digital Realty Trust</w:t>
            </w:r>
          </w:p>
        </w:tc>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RailTel Corporation</w:t>
            </w:r>
          </w:p>
        </w:tc>
        <w:tc>
          <w:tcPr>
            <w:tcW w:type="dxa" w:w="15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A · Already run</w:t>
            </w:r>
          </w:p>
        </w:tc>
        <w:tc>
          <w:tcPr>
            <w:tcW w:type="dxa" w:w="46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Govt DC business + railway fiber; PSU mid-cap; partial wholesale exposure</w:t>
            </w:r>
          </w:p>
        </w:tc>
      </w:tr>
      <w:tr>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Equinix</w:t>
            </w:r>
          </w:p>
        </w:tc>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Tata Communications</w:t>
            </w:r>
          </w:p>
        </w:tc>
        <w:tc>
          <w:tcPr>
            <w:tcW w:type="dxa" w:w="1500"/>
            <w:tcBorders>
              <w:top w:val="single" w:color="D1D5DB" w:sz="4"/>
              <w:left w:val="single" w:color="D1D5DB" w:sz="4"/>
              <w:bottom w:val="single" w:color="D1D5DB" w:sz="4"/>
              <w:right w:val="single" w:color="D1D5DB" w:sz="4"/>
            </w:tcBorders>
            <w:shd w:fill="FEF3C7"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B · Picking up</w:t>
            </w:r>
          </w:p>
        </w:tc>
        <w:tc>
          <w:tcPr>
            <w:tcW w:type="dxa" w:w="46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Interconnection + DC + IZO platform; closest Indian Equinix analogue; ran modestly</w:t>
            </w:r>
          </w:p>
        </w:tc>
      </w:tr>
      <w:tr>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Equinix</w:t>
            </w:r>
          </w:p>
        </w:tc>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Bharti Airtel (Nxtra)</w:t>
            </w:r>
          </w:p>
        </w:tc>
        <w:tc>
          <w:tcPr>
            <w:tcW w:type="dxa" w:w="1500"/>
            <w:tcBorders>
              <w:top w:val="single" w:color="D1D5DB" w:sz="4"/>
              <w:left w:val="single" w:color="D1D5DB" w:sz="4"/>
              <w:bottom w:val="single" w:color="D1D5DB" w:sz="4"/>
              <w:right w:val="single" w:color="D1D5DB" w:sz="4"/>
            </w:tcBorders>
            <w:shd w:fill="FEF3C7"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B · Picking up</w:t>
            </w:r>
          </w:p>
        </w:tc>
        <w:tc>
          <w:tcPr>
            <w:tcW w:type="dxa" w:w="46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Listed parent; Nxtra subsidiary is wholesale DC; Carlyle minority stake; IPO pipeline</w:t>
            </w:r>
          </w:p>
        </w:tc>
      </w:tr>
      <w:tr>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Iron Mountain</w:t>
            </w:r>
          </w:p>
        </w:tc>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Sify Technologies (ADR)</w:t>
            </w:r>
          </w:p>
        </w:tc>
        <w:tc>
          <w:tcPr>
            <w:tcW w:type="dxa" w:w="1500"/>
            <w:tcBorders>
              <w:top w:val="single" w:color="D1D5DB" w:sz="4"/>
              <w:left w:val="single" w:color="D1D5DB" w:sz="4"/>
              <w:bottom w:val="single" w:color="D1D5DB" w:sz="4"/>
              <w:right w:val="single" w:color="D1D5DB" w:sz="4"/>
            </w:tcBorders>
            <w:shd w:fill="FEF3C7"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B · Picking up</w:t>
            </w:r>
          </w:p>
        </w:tc>
        <w:tc>
          <w:tcPr>
            <w:tcW w:type="dxa" w:w="46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US-listed (NASDAQ) Indian DC operator; Infinit Spaces carve-out IPO pipeline FY26</w:t>
            </w:r>
          </w:p>
        </w:tc>
      </w:tr>
      <w:tr>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QTS / Vantage / Compass</w:t>
            </w:r>
          </w:p>
        </w:tc>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iCs/>
                <w:color w:val="1F2937"/>
                <w:sz w:val="18"/>
                <w:szCs w:val="18"/>
              </w:rPr>
              <w:t xml:space="preserve">CtrlS Datacenters</w:t>
            </w:r>
          </w:p>
        </w:tc>
        <w:tc>
          <w:tcPr>
            <w:tcW w:type="dxa" w:w="15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Private</w:t>
            </w:r>
          </w:p>
        </w:tc>
        <w:tc>
          <w:tcPr>
            <w:tcW w:type="dxa" w:w="46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Largest pure-play Indian DC operator; pre-IPO; IPO pipeline FY26-27</w:t>
            </w:r>
          </w:p>
        </w:tc>
      </w:tr>
      <w:tr>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QTS / Vantage / Compass</w:t>
            </w:r>
          </w:p>
        </w:tc>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iCs/>
                <w:color w:val="1F2937"/>
                <w:sz w:val="18"/>
                <w:szCs w:val="18"/>
              </w:rPr>
              <w:t xml:space="preserve">Yotta Data Services</w:t>
            </w:r>
          </w:p>
        </w:tc>
        <w:tc>
          <w:tcPr>
            <w:tcW w:type="dxa" w:w="15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Private</w:t>
            </w:r>
          </w:p>
        </w:tc>
        <w:tc>
          <w:tcPr>
            <w:tcW w:type="dxa" w:w="46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Hiranandani group DC; NVIDIA partner; IPO pipeline FY26-27</w:t>
            </w:r>
          </w:p>
        </w:tc>
      </w:tr>
      <w:tr>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QTS / Vantage / Compass</w:t>
            </w:r>
          </w:p>
        </w:tc>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iCs/>
                <w:color w:val="1F2937"/>
                <w:sz w:val="18"/>
                <w:szCs w:val="18"/>
              </w:rPr>
              <w:t xml:space="preserve">Nxtra by Airtel</w:t>
            </w:r>
          </w:p>
        </w:tc>
        <w:tc>
          <w:tcPr>
            <w:tcW w:type="dxa" w:w="15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Private</w:t>
            </w:r>
          </w:p>
        </w:tc>
        <w:tc>
          <w:tcPr>
            <w:tcW w:type="dxa" w:w="46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Bharti Airtel's hyperscale colo arm; Carlyle-backed; IPO pipeline</w:t>
            </w:r>
          </w:p>
        </w:tc>
      </w:tr>
      <w:tr>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Aligned / Stack</w:t>
            </w:r>
          </w:p>
        </w:tc>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iCs/>
                <w:color w:val="1F2937"/>
                <w:sz w:val="18"/>
                <w:szCs w:val="18"/>
              </w:rPr>
              <w:t xml:space="preserve">Sify Infinit Spaces</w:t>
            </w:r>
          </w:p>
        </w:tc>
        <w:tc>
          <w:tcPr>
            <w:tcW w:type="dxa" w:w="15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Private</w:t>
            </w:r>
          </w:p>
        </w:tc>
        <w:tc>
          <w:tcPr>
            <w:tcW w:type="dxa" w:w="46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Sify DC carve-out; SEBI-cleared IPO; expected to list FY26</w:t>
            </w:r>
          </w:p>
        </w:tc>
      </w:tr>
      <w:tr>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Aligned / Stack</w:t>
            </w:r>
          </w:p>
        </w:tc>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iCs/>
                <w:color w:val="1F2937"/>
                <w:sz w:val="18"/>
                <w:szCs w:val="18"/>
              </w:rPr>
              <w:t xml:space="preserve">NTT GDC India</w:t>
            </w:r>
          </w:p>
        </w:tc>
        <w:tc>
          <w:tcPr>
            <w:tcW w:type="dxa" w:w="15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Private</w:t>
            </w:r>
          </w:p>
        </w:tc>
        <w:tc>
          <w:tcPr>
            <w:tcW w:type="dxa" w:w="46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Japanese parent; private India operations; not listed</w:t>
            </w:r>
          </w:p>
        </w:tc>
      </w:tr>
      <w:tr>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Aligned / Stack</w:t>
            </w:r>
          </w:p>
        </w:tc>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iCs/>
                <w:color w:val="1F2937"/>
                <w:sz w:val="18"/>
                <w:szCs w:val="18"/>
              </w:rPr>
              <w:t xml:space="preserve">STT GDC India</w:t>
            </w:r>
          </w:p>
        </w:tc>
        <w:tc>
          <w:tcPr>
            <w:tcW w:type="dxa" w:w="15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Private</w:t>
            </w:r>
          </w:p>
        </w:tc>
        <w:tc>
          <w:tcPr>
            <w:tcW w:type="dxa" w:w="46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ST Telemedia + Tata JV; private</w:t>
            </w:r>
          </w:p>
        </w:tc>
      </w:tr>
      <w:tr>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Aligned / Stack</w:t>
            </w:r>
          </w:p>
        </w:tc>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iCs/>
                <w:color w:val="1F2937"/>
                <w:sz w:val="18"/>
                <w:szCs w:val="18"/>
              </w:rPr>
              <w:t xml:space="preserve">Web Werks (IRP)</w:t>
            </w:r>
          </w:p>
        </w:tc>
        <w:tc>
          <w:tcPr>
            <w:tcW w:type="dxa" w:w="15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Private</w:t>
            </w:r>
          </w:p>
        </w:tc>
        <w:tc>
          <w:tcPr>
            <w:tcW w:type="dxa" w:w="46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Iron Mountain India JV; small DC operator</w:t>
            </w:r>
          </w:p>
        </w:tc>
      </w:tr>
    </w:tbl>
    <w:p>
      <w:pPr>
        <w:spacing w:after="0" w:before="120"/>
      </w:pPr>
    </w:p>
    <w:p>
      <w:pPr>
        <w:pStyle w:val="Heading2"/>
        <w:spacing w:after="160" w:before="360"/>
      </w:pPr>
      <w:r>
        <w:rPr>
          <w:rFonts w:ascii="Arial" w:cs="Arial" w:eastAsia="Arial" w:hAnsi="Arial"/>
          <w:b/>
          <w:bCs/>
          <w:color w:val="1F2937"/>
          <w:sz w:val="28"/>
          <w:szCs w:val="28"/>
        </w:rPr>
        <w:t xml:space="preserve">4.3 Retail colocation → India mirror</w:t>
      </w:r>
    </w:p>
    <w:p>
      <w:pPr>
        <w:spacing w:after="60" w:before="60" w:line="300"/>
        <w:jc w:val="left"/>
      </w:pPr>
      <w:r>
        <w:rPr>
          <w:rFonts w:ascii="Arial" w:cs="Arial" w:eastAsia="Arial" w:hAnsi="Arial"/>
          <w:b w:val="false"/>
          <w:bCs w:val="false"/>
          <w:i w:val="false"/>
          <w:iCs w:val="false"/>
          <w:color w:val="1F2937"/>
          <w:sz w:val="20"/>
          <w:szCs w:val="20"/>
        </w:rPr>
        <w:t xml:space="preserve">The Indian retail colocation segment is small and overlaps heavily with the wholesale operators above (CtrlS, Yotta, Nxtra all offer retail tiers). There is no Indian Equinix-equivalent dedicated retail-interconnection operator at scale. This is a structural gap for now.</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500"/>
        <w:gridCol w:w="4680"/>
      </w:tblGrid>
      <w:tr>
        <w:trPr>
          <w:tblHeader/>
        </w:trPr>
        <w:tc>
          <w:tcPr>
            <w:tcW w:type="dxa" w:w="220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US name</w:t>
            </w:r>
          </w:p>
        </w:tc>
        <w:tc>
          <w:tcPr>
            <w:tcW w:type="dxa" w:w="170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India mirror</w:t>
            </w:r>
          </w:p>
        </w:tc>
        <w:tc>
          <w:tcPr>
            <w:tcW w:type="dxa" w:w="150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Tier</w:t>
            </w:r>
          </w:p>
        </w:tc>
        <w:tc>
          <w:tcPr>
            <w:tcW w:type="dxa" w:w="468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Reasoning</w:t>
            </w:r>
          </w:p>
        </w:tc>
      </w:tr>
      <w:tr>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Equinix (retail + IXP)</w:t>
            </w:r>
          </w:p>
        </w:tc>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Tata Communications</w:t>
            </w:r>
          </w:p>
        </w:tc>
        <w:tc>
          <w:tcPr>
            <w:tcW w:type="dxa" w:w="1500"/>
            <w:tcBorders>
              <w:top w:val="single" w:color="D1D5DB" w:sz="4"/>
              <w:left w:val="single" w:color="D1D5DB" w:sz="4"/>
              <w:bottom w:val="single" w:color="D1D5DB" w:sz="4"/>
              <w:right w:val="single" w:color="D1D5DB" w:sz="4"/>
            </w:tcBorders>
            <w:shd w:fill="FEF3C7"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B · Picking up</w:t>
            </w:r>
          </w:p>
        </w:tc>
        <w:tc>
          <w:tcPr>
            <w:tcW w:type="dxa" w:w="46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Operates IZO and AS6453 international IP transit; closest interconnection moat in India</w:t>
            </w:r>
          </w:p>
        </w:tc>
      </w:tr>
      <w:tr>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Cologix / DataBank</w:t>
            </w:r>
          </w:p>
        </w:tc>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iCs/>
                <w:color w:val="1F2937"/>
                <w:sz w:val="18"/>
                <w:szCs w:val="18"/>
              </w:rPr>
              <w:t xml:space="preserve">(structural gap)</w:t>
            </w:r>
          </w:p>
        </w:tc>
        <w:tc>
          <w:tcPr>
            <w:tcW w:type="dxa" w:w="15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w:t>
            </w:r>
          </w:p>
        </w:tc>
        <w:tc>
          <w:tcPr>
            <w:tcW w:type="dxa" w:w="46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No listed Indian edge-colo operator equivalent</w:t>
            </w:r>
          </w:p>
        </w:tc>
      </w:tr>
    </w:tbl>
    <w:p>
      <w:pPr>
        <w:spacing w:after="0" w:before="120"/>
      </w:pPr>
    </w:p>
    <w:p>
      <w:r>
        <w:br w:type="page"/>
      </w:r>
    </w:p>
    <w:p>
      <w:pPr>
        <w:pStyle w:val="Heading2"/>
        <w:spacing w:after="160" w:before="360"/>
      </w:pPr>
      <w:r>
        <w:rPr>
          <w:rFonts w:ascii="Arial" w:cs="Arial" w:eastAsia="Arial" w:hAnsi="Arial"/>
          <w:b/>
          <w:bCs/>
          <w:color w:val="1F2937"/>
          <w:sz w:val="28"/>
          <w:szCs w:val="28"/>
        </w:rPr>
        <w:t xml:space="preserve">4.4 Neocloud / GPU-as-a-Service → India mirror</w:t>
      </w:r>
    </w:p>
    <w:p>
      <w:pPr>
        <w:spacing w:after="60" w:before="60" w:line="300"/>
        <w:jc w:val="left"/>
      </w:pPr>
      <w:r>
        <w:rPr>
          <w:rFonts w:ascii="Arial" w:cs="Arial" w:eastAsia="Arial" w:hAnsi="Arial"/>
          <w:b w:val="false"/>
          <w:bCs w:val="false"/>
          <w:i w:val="false"/>
          <w:iCs w:val="false"/>
          <w:color w:val="1F2937"/>
          <w:sz w:val="20"/>
          <w:szCs w:val="20"/>
        </w:rPr>
        <w:t xml:space="preserve">This is one of the cleanest mappings: there is a single listed Indian neocloud, E2E Networks, which is a near-perfect functional analogue of CoreWeave at a much smaller scale. The private Indian universe in this segment is growing fast and is the most active sub-category for new investment in FY25-26.</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500"/>
        <w:gridCol w:w="4680"/>
      </w:tblGrid>
      <w:tr>
        <w:trPr>
          <w:tblHeader/>
        </w:trPr>
        <w:tc>
          <w:tcPr>
            <w:tcW w:type="dxa" w:w="220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US name</w:t>
            </w:r>
          </w:p>
        </w:tc>
        <w:tc>
          <w:tcPr>
            <w:tcW w:type="dxa" w:w="170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India mirror</w:t>
            </w:r>
          </w:p>
        </w:tc>
        <w:tc>
          <w:tcPr>
            <w:tcW w:type="dxa" w:w="150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Tier</w:t>
            </w:r>
          </w:p>
        </w:tc>
        <w:tc>
          <w:tcPr>
            <w:tcW w:type="dxa" w:w="468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Reasoning</w:t>
            </w:r>
          </w:p>
        </w:tc>
      </w:tr>
      <w:tr>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CoreWeave</w:t>
            </w:r>
          </w:p>
        </w:tc>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E2E Networks</w:t>
            </w:r>
          </w:p>
        </w:tc>
        <w:tc>
          <w:tcPr>
            <w:tcW w:type="dxa" w:w="1500"/>
            <w:tcBorders>
              <w:top w:val="single" w:color="D1D5DB" w:sz="4"/>
              <w:left w:val="single" w:color="D1D5DB" w:sz="4"/>
              <w:bottom w:val="single" w:color="D1D5DB" w:sz="4"/>
              <w:right w:val="single" w:color="D1D5DB" w:sz="4"/>
            </w:tcBorders>
            <w:shd w:fill="D1FAE5"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C · Yet to discover</w:t>
            </w:r>
          </w:p>
        </w:tc>
        <w:tc>
          <w:tcPr>
            <w:tcW w:type="dxa" w:w="46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Indian GPU cloud; H100/L40S rentals; closest functional CoreWeave analogue but under-followed; small-cap; ~Rs 2,000-3,000 cr m-cap range</w:t>
            </w:r>
          </w:p>
        </w:tc>
      </w:tr>
      <w:tr>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IREN</w:t>
            </w:r>
          </w:p>
        </w:tc>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iCs/>
                <w:color w:val="1F2937"/>
                <w:sz w:val="18"/>
                <w:szCs w:val="18"/>
              </w:rPr>
              <w:t xml:space="preserve">(structural gap)</w:t>
            </w:r>
          </w:p>
        </w:tc>
        <w:tc>
          <w:tcPr>
            <w:tcW w:type="dxa" w:w="15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w:t>
            </w:r>
          </w:p>
        </w:tc>
        <w:tc>
          <w:tcPr>
            <w:tcW w:type="dxa" w:w="46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No Indian BTC-miner-pivot equivalent (Indian BTC mining is structurally regulated away)</w:t>
            </w:r>
          </w:p>
        </w:tc>
      </w:tr>
      <w:tr>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Nebius Group</w:t>
            </w:r>
          </w:p>
        </w:tc>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iCs/>
                <w:color w:val="1F2937"/>
                <w:sz w:val="18"/>
                <w:szCs w:val="18"/>
              </w:rPr>
              <w:t xml:space="preserve">Yotta Data Services</w:t>
            </w:r>
          </w:p>
        </w:tc>
        <w:tc>
          <w:tcPr>
            <w:tcW w:type="dxa" w:w="15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Private</w:t>
            </w:r>
          </w:p>
        </w:tc>
        <w:tc>
          <w:tcPr>
            <w:tcW w:type="dxa" w:w="46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Yotta G1 GPU cloud (NVIDIA Cloud Partner) launched 2024; pure-play GPU cloud</w:t>
            </w:r>
          </w:p>
        </w:tc>
      </w:tr>
      <w:tr>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Crusoe Energy</w:t>
            </w:r>
          </w:p>
        </w:tc>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Reliance Jio AI Cloud</w:t>
            </w:r>
          </w:p>
        </w:tc>
        <w:tc>
          <w:tcPr>
            <w:tcW w:type="dxa" w:w="15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A · Already run</w:t>
            </w:r>
          </w:p>
        </w:tc>
        <w:tc>
          <w:tcPr>
            <w:tcW w:type="dxa" w:w="46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Hosted on RIL infra; behind-the-meter renewables at Jamnagar; closest 'stargate-style' Indian analogue</w:t>
            </w:r>
          </w:p>
        </w:tc>
      </w:tr>
      <w:tr>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Lambda Labs</w:t>
            </w:r>
          </w:p>
        </w:tc>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Tata Communications (DGX-as-a-service)</w:t>
            </w:r>
          </w:p>
        </w:tc>
        <w:tc>
          <w:tcPr>
            <w:tcW w:type="dxa" w:w="1500"/>
            <w:tcBorders>
              <w:top w:val="single" w:color="D1D5DB" w:sz="4"/>
              <w:left w:val="single" w:color="D1D5DB" w:sz="4"/>
              <w:bottom w:val="single" w:color="D1D5DB" w:sz="4"/>
              <w:right w:val="single" w:color="D1D5DB" w:sz="4"/>
            </w:tcBorders>
            <w:shd w:fill="FEF3C7"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B · Picking up</w:t>
            </w:r>
          </w:p>
        </w:tc>
        <w:tc>
          <w:tcPr>
            <w:tcW w:type="dxa" w:w="46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GPU-cloud-as-a-service through Tata's IZO platform</w:t>
            </w:r>
          </w:p>
        </w:tc>
      </w:tr>
      <w:tr>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Together AI</w:t>
            </w:r>
          </w:p>
        </w:tc>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iCs/>
                <w:color w:val="1F2937"/>
                <w:sz w:val="18"/>
                <w:szCs w:val="18"/>
              </w:rPr>
              <w:t xml:space="preserve">Krutrim (Ola)</w:t>
            </w:r>
          </w:p>
        </w:tc>
        <w:tc>
          <w:tcPr>
            <w:tcW w:type="dxa" w:w="15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Private</w:t>
            </w:r>
          </w:p>
        </w:tc>
        <w:tc>
          <w:tcPr>
            <w:tcW w:type="dxa" w:w="46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Bhavish Aggarwal's AI-cloud + inference layer; private; unicorn 2024</w:t>
            </w:r>
          </w:p>
        </w:tc>
      </w:tr>
      <w:tr>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Voltage Park</w:t>
            </w:r>
          </w:p>
        </w:tc>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iCs/>
                <w:color w:val="1F2937"/>
                <w:sz w:val="18"/>
                <w:szCs w:val="18"/>
              </w:rPr>
              <w:t xml:space="preserve">AI4Bharat / IndiaAI Mission</w:t>
            </w:r>
          </w:p>
        </w:tc>
        <w:tc>
          <w:tcPr>
            <w:tcW w:type="dxa" w:w="15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Public-sector</w:t>
            </w:r>
          </w:p>
        </w:tc>
        <w:tc>
          <w:tcPr>
            <w:tcW w:type="dxa" w:w="46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Government-funded GPU access for Indian researchers; not investable but catalyst marker</w:t>
            </w:r>
          </w:p>
        </w:tc>
      </w:tr>
      <w:tr>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Foundry / Modal</w:t>
            </w:r>
          </w:p>
        </w:tc>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iCs/>
                <w:color w:val="1F2937"/>
                <w:sz w:val="18"/>
                <w:szCs w:val="18"/>
              </w:rPr>
              <w:t xml:space="preserve">Sarvam AI / Tier-5 names</w:t>
            </w:r>
          </w:p>
        </w:tc>
        <w:tc>
          <w:tcPr>
            <w:tcW w:type="dxa" w:w="15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Private</w:t>
            </w:r>
          </w:p>
        </w:tc>
        <w:tc>
          <w:tcPr>
            <w:tcW w:type="dxa" w:w="46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Small private model+infra players; long tail of private startups</w:t>
            </w:r>
          </w:p>
        </w:tc>
      </w:tr>
    </w:tbl>
    <w:p>
      <w:pPr>
        <w:spacing w:after="0" w:before="120"/>
      </w:pPr>
    </w:p>
    <w:p>
      <w:pPr>
        <w:spacing w:after="60" w:before="60" w:line="300"/>
        <w:jc w:val="left"/>
      </w:pPr>
      <w:r>
        <w:rPr>
          <w:rFonts w:ascii="Arial" w:cs="Arial" w:eastAsia="Arial" w:hAnsi="Arial"/>
          <w:b w:val="false"/>
          <w:bCs w:val="false"/>
          <w:i w:val="false"/>
          <w:iCs w:val="false"/>
          <w:color w:val="1F2937"/>
          <w:sz w:val="20"/>
          <w:szCs w:val="20"/>
        </w:rPr>
        <w:t xml:space="preserve">E2E Networks is the single most asymmetric mirror in the entire mapping. It is small, retail-investor-followed, and structurally identical to what CoreWeave was in 2022 before the IPO. If a single hyperscaler-style customer contract gets signed, the rerate pattern could mirror CoreWeave's listing trajectory.</w:t>
      </w:r>
    </w:p>
    <w:p>
      <w:pPr>
        <w:pStyle w:val="Heading2"/>
        <w:spacing w:after="160" w:before="360"/>
      </w:pPr>
      <w:r>
        <w:rPr>
          <w:rFonts w:ascii="Arial" w:cs="Arial" w:eastAsia="Arial" w:hAnsi="Arial"/>
          <w:b/>
          <w:bCs/>
          <w:color w:val="1F2937"/>
          <w:sz w:val="28"/>
          <w:szCs w:val="28"/>
        </w:rPr>
        <w:t xml:space="preserve">4.5 BTC-miner pivots → India mirror</w:t>
      </w:r>
    </w:p>
    <w:p>
      <w:pPr>
        <w:spacing w:after="60" w:before="60" w:line="300"/>
        <w:jc w:val="left"/>
      </w:pPr>
      <w:r>
        <w:rPr>
          <w:rFonts w:ascii="Arial" w:cs="Arial" w:eastAsia="Arial" w:hAnsi="Arial"/>
          <w:b w:val="false"/>
          <w:bCs w:val="false"/>
          <w:i w:val="false"/>
          <w:iCs w:val="false"/>
          <w:color w:val="1F2937"/>
          <w:sz w:val="20"/>
          <w:szCs w:val="20"/>
        </w:rPr>
        <w:t xml:space="preserve">Structural gap. India does not have a meaningful listed Bitcoin mining industry because of tax and regulatory friction. The closest equivalents would be PSUs or private parties with stranded/captive power that can be redirected to AI hosting — a different model but functionally similar.</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500"/>
        <w:gridCol w:w="4680"/>
      </w:tblGrid>
      <w:tr>
        <w:trPr>
          <w:tblHeader/>
        </w:trPr>
        <w:tc>
          <w:tcPr>
            <w:tcW w:type="dxa" w:w="220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US name</w:t>
            </w:r>
          </w:p>
        </w:tc>
        <w:tc>
          <w:tcPr>
            <w:tcW w:type="dxa" w:w="170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India mirror</w:t>
            </w:r>
          </w:p>
        </w:tc>
        <w:tc>
          <w:tcPr>
            <w:tcW w:type="dxa" w:w="150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Tier</w:t>
            </w:r>
          </w:p>
        </w:tc>
        <w:tc>
          <w:tcPr>
            <w:tcW w:type="dxa" w:w="468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Reasoning</w:t>
            </w:r>
          </w:p>
        </w:tc>
      </w:tr>
      <w:tr>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IREN / Hut 8 / Core Scientific</w:t>
            </w:r>
          </w:p>
        </w:tc>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iCs/>
                <w:color w:val="1F2937"/>
                <w:sz w:val="18"/>
                <w:szCs w:val="18"/>
              </w:rPr>
              <w:t xml:space="preserve">(structural gap)</w:t>
            </w:r>
          </w:p>
        </w:tc>
        <w:tc>
          <w:tcPr>
            <w:tcW w:type="dxa" w:w="15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w:t>
            </w:r>
          </w:p>
        </w:tc>
        <w:tc>
          <w:tcPr>
            <w:tcW w:type="dxa" w:w="46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No Indian listed BTC-miner pivot exists. Most analogous would be NTPC or JSW Energy redirecting stranded power capacity to host AI infrastructure — but no listed entity has done this yet.</w:t>
            </w:r>
          </w:p>
        </w:tc>
      </w:tr>
      <w:tr>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Applied Digital</w:t>
            </w:r>
          </w:p>
        </w:tc>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iCs/>
                <w:color w:val="1F2937"/>
                <w:sz w:val="18"/>
                <w:szCs w:val="18"/>
              </w:rPr>
              <w:t xml:space="preserve">(structural gap)</w:t>
            </w:r>
          </w:p>
        </w:tc>
        <w:tc>
          <w:tcPr>
            <w:tcW w:type="dxa" w:w="15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w:t>
            </w:r>
          </w:p>
        </w:tc>
        <w:tc>
          <w:tcPr>
            <w:tcW w:type="dxa" w:w="46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Closest hypothetical analogue would be a hydropower-rich state genco (NHPC, SJVN) or Adani Power's stranded capacity sites; speculative</w:t>
            </w:r>
          </w:p>
        </w:tc>
      </w:tr>
    </w:tbl>
    <w:p>
      <w:pPr>
        <w:spacing w:after="0" w:before="120"/>
      </w:pPr>
    </w:p>
    <w:p>
      <w:pPr>
        <w:pStyle w:val="Heading2"/>
        <w:spacing w:after="160" w:before="360"/>
      </w:pPr>
      <w:r>
        <w:rPr>
          <w:rFonts w:ascii="Arial" w:cs="Arial" w:eastAsia="Arial" w:hAnsi="Arial"/>
          <w:b/>
          <w:bCs/>
          <w:color w:val="1F2937"/>
          <w:sz w:val="28"/>
          <w:szCs w:val="28"/>
        </w:rPr>
        <w:t xml:space="preserve">4.6 Shell builders + EPC + mechanical → India mirror</w:t>
      </w:r>
    </w:p>
    <w:p>
      <w:pPr>
        <w:spacing w:after="60" w:before="60" w:line="300"/>
        <w:jc w:val="left"/>
      </w:pPr>
      <w:r>
        <w:rPr>
          <w:rFonts w:ascii="Arial" w:cs="Arial" w:eastAsia="Arial" w:hAnsi="Arial"/>
          <w:b w:val="false"/>
          <w:bCs w:val="false"/>
          <w:i w:val="false"/>
          <w:iCs w:val="false"/>
          <w:color w:val="1F2937"/>
          <w:sz w:val="20"/>
          <w:szCs w:val="20"/>
        </w:rPr>
        <w:t xml:space="preserve">India has a much deeper listed cohort here than the US, because Indian general contractors are mostly listed (Larsen &amp; Toubro the obvious leader). The mechanical-electrical contracting cohort however is thinner. Modular DC has no Indian listed equivalent yet.</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500"/>
        <w:gridCol w:w="4680"/>
      </w:tblGrid>
      <w:tr>
        <w:trPr>
          <w:tblHeader/>
        </w:trPr>
        <w:tc>
          <w:tcPr>
            <w:tcW w:type="dxa" w:w="220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US name</w:t>
            </w:r>
          </w:p>
        </w:tc>
        <w:tc>
          <w:tcPr>
            <w:tcW w:type="dxa" w:w="170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India mirror</w:t>
            </w:r>
          </w:p>
        </w:tc>
        <w:tc>
          <w:tcPr>
            <w:tcW w:type="dxa" w:w="150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Tier</w:t>
            </w:r>
          </w:p>
        </w:tc>
        <w:tc>
          <w:tcPr>
            <w:tcW w:type="dxa" w:w="468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Reasoning</w:t>
            </w:r>
          </w:p>
        </w:tc>
      </w:tr>
      <w:tr>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DPR / Holder / Turner</w:t>
            </w:r>
          </w:p>
        </w:tc>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Larsen &amp; Toubro</w:t>
            </w:r>
          </w:p>
        </w:tc>
        <w:tc>
          <w:tcPr>
            <w:tcW w:type="dxa" w:w="15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A · Already run</w:t>
            </w:r>
          </w:p>
        </w:tc>
        <w:tc>
          <w:tcPr>
            <w:tcW w:type="dxa" w:w="46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Mega-cap EPC; small DC build mix but only Indian listed peer to US mega-contractors</w:t>
            </w:r>
          </w:p>
        </w:tc>
      </w:tr>
      <w:tr>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DPR / Holder / Turner</w:t>
            </w:r>
          </w:p>
        </w:tc>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Techno Electric &amp; Eng</w:t>
            </w:r>
          </w:p>
        </w:tc>
        <w:tc>
          <w:tcPr>
            <w:tcW w:type="dxa" w:w="15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A · Already run</w:t>
            </w:r>
          </w:p>
        </w:tc>
        <w:tc>
          <w:tcPr>
            <w:tcW w:type="dxa" w:w="46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Power EPC + DC vertical announced; cleanest Indian mid-cap DC EPC</w:t>
            </w:r>
          </w:p>
        </w:tc>
      </w:tr>
      <w:tr>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DPR / Holder / Turner</w:t>
            </w:r>
          </w:p>
        </w:tc>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ITD Cementation</w:t>
            </w:r>
          </w:p>
        </w:tc>
        <w:tc>
          <w:tcPr>
            <w:tcW w:type="dxa" w:w="1500"/>
            <w:tcBorders>
              <w:top w:val="single" w:color="D1D5DB" w:sz="4"/>
              <w:left w:val="single" w:color="D1D5DB" w:sz="4"/>
              <w:bottom w:val="single" w:color="D1D5DB" w:sz="4"/>
              <w:right w:val="single" w:color="D1D5DB" w:sz="4"/>
            </w:tcBorders>
            <w:shd w:fill="FEF3C7"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B · Picking up</w:t>
            </w:r>
          </w:p>
        </w:tc>
        <w:tc>
          <w:tcPr>
            <w:tcW w:type="dxa" w:w="46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Civil EPC; DC build adjacency; smaller</w:t>
            </w:r>
          </w:p>
        </w:tc>
      </w:tr>
      <w:tr>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Comfort Systems USA</w:t>
            </w:r>
          </w:p>
        </w:tc>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Blue Star</w:t>
            </w:r>
          </w:p>
        </w:tc>
        <w:tc>
          <w:tcPr>
            <w:tcW w:type="dxa" w:w="15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A · Already run</w:t>
            </w:r>
          </w:p>
        </w:tc>
        <w:tc>
          <w:tcPr>
            <w:tcW w:type="dxa" w:w="46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Largest Indian commercial HVAC + electromechanical; DC cooling supplier; closest mirror to FIX</w:t>
            </w:r>
          </w:p>
        </w:tc>
      </w:tr>
      <w:tr>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EMCOR Group</w:t>
            </w:r>
          </w:p>
        </w:tc>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Voltas (project arm)</w:t>
            </w:r>
          </w:p>
        </w:tc>
        <w:tc>
          <w:tcPr>
            <w:tcW w:type="dxa" w:w="1500"/>
            <w:tcBorders>
              <w:top w:val="single" w:color="D1D5DB" w:sz="4"/>
              <w:left w:val="single" w:color="D1D5DB" w:sz="4"/>
              <w:bottom w:val="single" w:color="D1D5DB" w:sz="4"/>
              <w:right w:val="single" w:color="D1D5DB" w:sz="4"/>
            </w:tcBorders>
            <w:shd w:fill="FEF3C7"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B · Picking up</w:t>
            </w:r>
          </w:p>
        </w:tc>
        <w:tc>
          <w:tcPr>
            <w:tcW w:type="dxa" w:w="46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Engineering projects + HVAC; partial mirror</w:t>
            </w:r>
          </w:p>
        </w:tc>
      </w:tr>
      <w:tr>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Sterling Infrastructure</w:t>
            </w:r>
          </w:p>
        </w:tc>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iCs/>
                <w:color w:val="1F2937"/>
                <w:sz w:val="18"/>
                <w:szCs w:val="18"/>
              </w:rPr>
              <w:t xml:space="preserve">(structural gap)</w:t>
            </w:r>
          </w:p>
        </w:tc>
        <w:tc>
          <w:tcPr>
            <w:tcW w:type="dxa" w:w="15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w:t>
            </w:r>
          </w:p>
        </w:tc>
        <w:tc>
          <w:tcPr>
            <w:tcW w:type="dxa" w:w="46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No Indian listed pure-play DC site-work specialist</w:t>
            </w:r>
          </w:p>
        </w:tc>
      </w:tr>
      <w:tr>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Limbach Holdings</w:t>
            </w:r>
          </w:p>
        </w:tc>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Honeywell Automation IN</w:t>
            </w:r>
          </w:p>
        </w:tc>
        <w:tc>
          <w:tcPr>
            <w:tcW w:type="dxa" w:w="1500"/>
            <w:tcBorders>
              <w:top w:val="single" w:color="D1D5DB" w:sz="4"/>
              <w:left w:val="single" w:color="D1D5DB" w:sz="4"/>
              <w:bottom w:val="single" w:color="D1D5DB" w:sz="4"/>
              <w:right w:val="single" w:color="D1D5DB" w:sz="4"/>
            </w:tcBorders>
            <w:shd w:fill="D1FAE5"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C · Yet to discover</w:t>
            </w:r>
          </w:p>
        </w:tc>
        <w:tc>
          <w:tcPr>
            <w:tcW w:type="dxa" w:w="46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BMS + mechanical controls; partial DC angle</w:t>
            </w:r>
          </w:p>
        </w:tc>
      </w:tr>
      <w:tr>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MYR Group / Quanta</w:t>
            </w:r>
          </w:p>
        </w:tc>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Power Grid (own EPC arm)</w:t>
            </w:r>
          </w:p>
        </w:tc>
        <w:tc>
          <w:tcPr>
            <w:tcW w:type="dxa" w:w="15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A · Already run</w:t>
            </w:r>
          </w:p>
        </w:tc>
        <w:tc>
          <w:tcPr>
            <w:tcW w:type="dxa" w:w="46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PSU; T&amp;D + DC interconnect EPC</w:t>
            </w:r>
          </w:p>
        </w:tc>
      </w:tr>
      <w:tr>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MYR Group / Quanta</w:t>
            </w:r>
          </w:p>
        </w:tc>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KEC International</w:t>
            </w:r>
          </w:p>
        </w:tc>
        <w:tc>
          <w:tcPr>
            <w:tcW w:type="dxa" w:w="15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A · Already run</w:t>
            </w:r>
          </w:p>
        </w:tc>
        <w:tc>
          <w:tcPr>
            <w:tcW w:type="dxa" w:w="46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T&amp;D EPC + global</w:t>
            </w:r>
          </w:p>
        </w:tc>
      </w:tr>
      <w:tr>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MYR Group / Quanta</w:t>
            </w:r>
          </w:p>
        </w:tc>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Kalpataru Projects</w:t>
            </w:r>
          </w:p>
        </w:tc>
        <w:tc>
          <w:tcPr>
            <w:tcW w:type="dxa" w:w="15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A · Already run</w:t>
            </w:r>
          </w:p>
        </w:tc>
        <w:tc>
          <w:tcPr>
            <w:tcW w:type="dxa" w:w="46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T&amp;D + buildings EPC</w:t>
            </w:r>
          </w:p>
        </w:tc>
      </w:tr>
      <w:tr>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Vertiv (modular DC)</w:t>
            </w:r>
          </w:p>
        </w:tc>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iCs/>
                <w:color w:val="1F2937"/>
                <w:sz w:val="18"/>
                <w:szCs w:val="18"/>
              </w:rPr>
              <w:t xml:space="preserve">(structural gap)</w:t>
            </w:r>
          </w:p>
        </w:tc>
        <w:tc>
          <w:tcPr>
            <w:tcW w:type="dxa" w:w="15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w:t>
            </w:r>
          </w:p>
        </w:tc>
        <w:tc>
          <w:tcPr>
            <w:tcW w:type="dxa" w:w="46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No Indian listed modular DC manufacturer; closest would be Netweb (server OEM) but it builds servers, not building shells</w:t>
            </w:r>
          </w:p>
        </w:tc>
      </w:tr>
    </w:tbl>
    <w:p>
      <w:pPr>
        <w:spacing w:after="0" w:before="120"/>
      </w:pPr>
    </w:p>
    <w:p>
      <w:r>
        <w:br w:type="page"/>
      </w:r>
    </w:p>
    <w:p>
      <w:pPr>
        <w:pStyle w:val="Heading2"/>
        <w:spacing w:after="160" w:before="360"/>
      </w:pPr>
      <w:r>
        <w:rPr>
          <w:rFonts w:ascii="Arial" w:cs="Arial" w:eastAsia="Arial" w:hAnsi="Arial"/>
          <w:b/>
          <w:bCs/>
          <w:color w:val="1F2937"/>
          <w:sz w:val="28"/>
          <w:szCs w:val="28"/>
        </w:rPr>
        <w:t xml:space="preserve">4.7 Power and land asset owners → India mirror</w:t>
      </w:r>
    </w:p>
    <w:p>
      <w:pPr>
        <w:spacing w:after="60" w:before="60" w:line="300"/>
        <w:jc w:val="left"/>
      </w:pPr>
      <w:r>
        <w:rPr>
          <w:rFonts w:ascii="Arial" w:cs="Arial" w:eastAsia="Arial" w:hAnsi="Arial"/>
          <w:b w:val="false"/>
          <w:bCs w:val="false"/>
          <w:i w:val="false"/>
          <w:iCs w:val="false"/>
          <w:color w:val="1F2937"/>
          <w:sz w:val="20"/>
          <w:szCs w:val="20"/>
        </w:rPr>
        <w:t xml:space="preserve">This segment was the most asymmetric in the US (Talen 13x). In India the structural mechanism is different — India has no meaningful merchant power market and very limited listed nuclear — so the equivalent rerate cannot operate by the same pathway. The relevant Indian names are those with (a) existing dispatchable generation, (b) adjacent developable land, (c) interconnection rights, and (d) the corporate flexibility to sign bespoke DC PPAs.</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500"/>
        <w:gridCol w:w="4680"/>
      </w:tblGrid>
      <w:tr>
        <w:trPr>
          <w:tblHeader/>
        </w:trPr>
        <w:tc>
          <w:tcPr>
            <w:tcW w:type="dxa" w:w="220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US name</w:t>
            </w:r>
          </w:p>
        </w:tc>
        <w:tc>
          <w:tcPr>
            <w:tcW w:type="dxa" w:w="170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India mirror</w:t>
            </w:r>
          </w:p>
        </w:tc>
        <w:tc>
          <w:tcPr>
            <w:tcW w:type="dxa" w:w="150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Tier</w:t>
            </w:r>
          </w:p>
        </w:tc>
        <w:tc>
          <w:tcPr>
            <w:tcW w:type="dxa" w:w="468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Reasoning</w:t>
            </w:r>
          </w:p>
        </w:tc>
      </w:tr>
      <w:tr>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Talen Energy</w:t>
            </w:r>
          </w:p>
        </w:tc>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Tata Power</w:t>
            </w:r>
          </w:p>
        </w:tc>
        <w:tc>
          <w:tcPr>
            <w:tcW w:type="dxa" w:w="15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A · Already run</w:t>
            </w:r>
          </w:p>
        </w:tc>
        <w:tc>
          <w:tcPr>
            <w:tcW w:type="dxa" w:w="46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Trombay 1,580 MW Mumbai + adjacent footprint; Delhi distribution license; closest 'asset-owner with adjacent DC land + interconnect + customer access' in India</w:t>
            </w:r>
          </w:p>
        </w:tc>
      </w:tr>
      <w:tr>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Constellation Energy</w:t>
            </w:r>
          </w:p>
        </w:tc>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NTPC</w:t>
            </w:r>
          </w:p>
        </w:tc>
        <w:tc>
          <w:tcPr>
            <w:tcW w:type="dxa" w:w="15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A · Already run</w:t>
            </w:r>
          </w:p>
        </w:tc>
        <w:tc>
          <w:tcPr>
            <w:tcW w:type="dxa" w:w="46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Largest Indian genco; existing coal + RE; sheer scale + PSU willingness to do bespoke PPAs; nuclear JV with NPCIL nascent</w:t>
            </w:r>
          </w:p>
        </w:tc>
      </w:tr>
      <w:tr>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Constellation Energy</w:t>
            </w:r>
          </w:p>
        </w:tc>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NTPC Green Energy</w:t>
            </w:r>
          </w:p>
        </w:tc>
        <w:tc>
          <w:tcPr>
            <w:tcW w:type="dxa" w:w="15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A · Already run</w:t>
            </w:r>
          </w:p>
        </w:tc>
        <w:tc>
          <w:tcPr>
            <w:tcW w:type="dxa" w:w="46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Listed Nov 2024 RE-only carve-out; cleanest 'renewable-PPA-to-DC' Indian play</w:t>
            </w:r>
          </w:p>
        </w:tc>
      </w:tr>
      <w:tr>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Vistra Corp</w:t>
            </w:r>
          </w:p>
        </w:tc>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JSW Energy</w:t>
            </w:r>
          </w:p>
        </w:tc>
        <w:tc>
          <w:tcPr>
            <w:tcW w:type="dxa" w:w="15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A · Already run</w:t>
            </w:r>
          </w:p>
        </w:tc>
        <w:tc>
          <w:tcPr>
            <w:tcW w:type="dxa" w:w="46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20 GW 2030 target; private-sector flexibility; closest Indian merchant-style genco</w:t>
            </w:r>
          </w:p>
        </w:tc>
      </w:tr>
      <w:tr>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Vistra Corp</w:t>
            </w:r>
          </w:p>
        </w:tc>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Adani Power</w:t>
            </w:r>
          </w:p>
        </w:tc>
        <w:tc>
          <w:tcPr>
            <w:tcW w:type="dxa" w:w="15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A · Already run</w:t>
            </w:r>
          </w:p>
        </w:tc>
        <w:tc>
          <w:tcPr>
            <w:tcW w:type="dxa" w:w="46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Largest private thermal IPP; high leverage = asymmetric to deal; Mundra + Tiroda land banks</w:t>
            </w:r>
          </w:p>
        </w:tc>
      </w:tr>
      <w:tr>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Public Service Enterprise</w:t>
            </w:r>
          </w:p>
        </w:tc>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Reliance Industries</w:t>
            </w:r>
          </w:p>
        </w:tc>
        <w:tc>
          <w:tcPr>
            <w:tcW w:type="dxa" w:w="15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A · Already run</w:t>
            </w:r>
          </w:p>
        </w:tc>
        <w:tc>
          <w:tcPr>
            <w:tcW w:type="dxa" w:w="46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Jamnagar captive power + renewable build-out; Jio AI Cloud DC + power integrated story; closest behind-the-meter Indian play</w:t>
            </w:r>
          </w:p>
        </w:tc>
      </w:tr>
      <w:tr>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Brookfield Renewable</w:t>
            </w:r>
          </w:p>
        </w:tc>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Adani Green Energy</w:t>
            </w:r>
          </w:p>
        </w:tc>
        <w:tc>
          <w:tcPr>
            <w:tcW w:type="dxa" w:w="15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A · Already run</w:t>
            </w:r>
          </w:p>
        </w:tc>
        <w:tc>
          <w:tcPr>
            <w:tcW w:type="dxa" w:w="46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Pure-play renewables; potential DC PPA supplier</w:t>
            </w:r>
          </w:p>
        </w:tc>
      </w:tr>
      <w:tr>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Tract (land developer)</w:t>
            </w:r>
          </w:p>
        </w:tc>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iCs/>
                <w:color w:val="1F2937"/>
                <w:sz w:val="18"/>
                <w:szCs w:val="18"/>
              </w:rPr>
              <w:t xml:space="preserve">(structural gap)</w:t>
            </w:r>
          </w:p>
        </w:tc>
        <w:tc>
          <w:tcPr>
            <w:tcW w:type="dxa" w:w="15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w:t>
            </w:r>
          </w:p>
        </w:tc>
        <w:tc>
          <w:tcPr>
            <w:tcW w:type="dxa" w:w="46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No Indian listed pure-play DC-ready land assembly play. Anant Raj is closest but operates differently (build-and-hold)</w:t>
            </w:r>
          </w:p>
        </w:tc>
      </w:tr>
    </w:tbl>
    <w:p>
      <w:pPr>
        <w:spacing w:after="0" w:before="120"/>
      </w:pPr>
    </w:p>
    <w:p>
      <w:pPr>
        <w:pStyle w:val="Heading2"/>
        <w:spacing w:after="160" w:before="360"/>
      </w:pPr>
      <w:r>
        <w:rPr>
          <w:rFonts w:ascii="Arial" w:cs="Arial" w:eastAsia="Arial" w:hAnsi="Arial"/>
          <w:b/>
          <w:bCs/>
          <w:color w:val="1F2937"/>
          <w:sz w:val="28"/>
          <w:szCs w:val="28"/>
        </w:rPr>
        <w:t xml:space="preserve">4.8 Fiber / interconnect → India mirror</w:t>
      </w:r>
    </w:p>
    <w:p>
      <w:pPr>
        <w:spacing w:after="60" w:before="60" w:line="300"/>
        <w:jc w:val="left"/>
      </w:pPr>
      <w:r>
        <w:rPr>
          <w:rFonts w:ascii="Arial" w:cs="Arial" w:eastAsia="Arial" w:hAnsi="Arial"/>
          <w:b w:val="false"/>
          <w:bCs w:val="false"/>
          <w:i w:val="false"/>
          <w:iCs w:val="false"/>
          <w:color w:val="1F2937"/>
          <w:sz w:val="20"/>
          <w:szCs w:val="20"/>
        </w:rPr>
        <w:t xml:space="preserve">India has more listed fiber exposure than the US in a relative sense, because the Indian fiber market never went through the same private consolidation. The names are different in structure (mostly carriers rather than pure dark fiber) but the asset-ownership angle exists.</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500"/>
        <w:gridCol w:w="4680"/>
      </w:tblGrid>
      <w:tr>
        <w:trPr>
          <w:tblHeader/>
        </w:trPr>
        <w:tc>
          <w:tcPr>
            <w:tcW w:type="dxa" w:w="220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US name</w:t>
            </w:r>
          </w:p>
        </w:tc>
        <w:tc>
          <w:tcPr>
            <w:tcW w:type="dxa" w:w="170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India mirror</w:t>
            </w:r>
          </w:p>
        </w:tc>
        <w:tc>
          <w:tcPr>
            <w:tcW w:type="dxa" w:w="150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Tier</w:t>
            </w:r>
          </w:p>
        </w:tc>
        <w:tc>
          <w:tcPr>
            <w:tcW w:type="dxa" w:w="468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Reasoning</w:t>
            </w:r>
          </w:p>
        </w:tc>
      </w:tr>
      <w:tr>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Lumen Technologies</w:t>
            </w:r>
          </w:p>
        </w:tc>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Tata Communications</w:t>
            </w:r>
          </w:p>
        </w:tc>
        <w:tc>
          <w:tcPr>
            <w:tcW w:type="dxa" w:w="1500"/>
            <w:tcBorders>
              <w:top w:val="single" w:color="D1D5DB" w:sz="4"/>
              <w:left w:val="single" w:color="D1D5DB" w:sz="4"/>
              <w:bottom w:val="single" w:color="D1D5DB" w:sz="4"/>
              <w:right w:val="single" w:color="D1D5DB" w:sz="4"/>
            </w:tcBorders>
            <w:shd w:fill="FEF3C7"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B · Picking up</w:t>
            </w:r>
          </w:p>
        </w:tc>
        <w:tc>
          <w:tcPr>
            <w:tcW w:type="dxa" w:w="46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International voice + IP transit + IZO; closest Lumen analogue + interconnection angle</w:t>
            </w:r>
          </w:p>
        </w:tc>
      </w:tr>
      <w:tr>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Lumen Technologies</w:t>
            </w:r>
          </w:p>
        </w:tc>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Bharti Airtel</w:t>
            </w:r>
          </w:p>
        </w:tc>
        <w:tc>
          <w:tcPr>
            <w:tcW w:type="dxa" w:w="1500"/>
            <w:tcBorders>
              <w:top w:val="single" w:color="D1D5DB" w:sz="4"/>
              <w:left w:val="single" w:color="D1D5DB" w:sz="4"/>
              <w:bottom w:val="single" w:color="D1D5DB" w:sz="4"/>
              <w:right w:val="single" w:color="D1D5DB" w:sz="4"/>
            </w:tcBorders>
            <w:shd w:fill="FEF3C7"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B · Picking up</w:t>
            </w:r>
          </w:p>
        </w:tc>
        <w:tc>
          <w:tcPr>
            <w:tcW w:type="dxa" w:w="46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Carrier + fiber + DC (Nxtra); subscriber base captive cross-connect potential</w:t>
            </w:r>
          </w:p>
        </w:tc>
      </w:tr>
      <w:tr>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Zayo (dark fiber)</w:t>
            </w:r>
          </w:p>
        </w:tc>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RailTel Corporation</w:t>
            </w:r>
          </w:p>
        </w:tc>
        <w:tc>
          <w:tcPr>
            <w:tcW w:type="dxa" w:w="15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A · Already run</w:t>
            </w:r>
          </w:p>
        </w:tc>
        <w:tc>
          <w:tcPr>
            <w:tcW w:type="dxa" w:w="46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Railway fiber backbone; closest Indian listed dark-fiber adjacency</w:t>
            </w:r>
          </w:p>
        </w:tc>
      </w:tr>
      <w:tr>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Zayo (dark fiber)</w:t>
            </w:r>
          </w:p>
        </w:tc>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Reliance Jio (within RIL)</w:t>
            </w:r>
          </w:p>
        </w:tc>
        <w:tc>
          <w:tcPr>
            <w:tcW w:type="dxa" w:w="15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A · Already run</w:t>
            </w:r>
          </w:p>
        </w:tc>
        <w:tc>
          <w:tcPr>
            <w:tcW w:type="dxa" w:w="46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Pan-India fiber owned by Jio; the largest Indian dark fiber footprint inside RIL parent</w:t>
            </w:r>
          </w:p>
        </w:tc>
      </w:tr>
      <w:tr>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Crown Castle (fiber)</w:t>
            </w:r>
          </w:p>
        </w:tc>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Indus Towers</w:t>
            </w:r>
          </w:p>
        </w:tc>
        <w:tc>
          <w:tcPr>
            <w:tcW w:type="dxa" w:w="1500"/>
            <w:tcBorders>
              <w:top w:val="single" w:color="D1D5DB" w:sz="4"/>
              <w:left w:val="single" w:color="D1D5DB" w:sz="4"/>
              <w:bottom w:val="single" w:color="D1D5DB" w:sz="4"/>
              <w:right w:val="single" w:color="D1D5DB" w:sz="4"/>
            </w:tcBorders>
            <w:shd w:fill="D1FAE5"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C · No DC alpha</w:t>
            </w:r>
          </w:p>
        </w:tc>
        <w:tc>
          <w:tcPr>
            <w:tcW w:type="dxa" w:w="46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Tower co; minimal DC angle; included for completeness</w:t>
            </w:r>
          </w:p>
        </w:tc>
      </w:tr>
    </w:tbl>
    <w:p>
      <w:pPr>
        <w:spacing w:after="0" w:before="120"/>
      </w:pPr>
    </w:p>
    <w:p>
      <w:pPr>
        <w:pStyle w:val="Heading2"/>
        <w:spacing w:after="160" w:before="360"/>
      </w:pPr>
      <w:r>
        <w:rPr>
          <w:rFonts w:ascii="Arial" w:cs="Arial" w:eastAsia="Arial" w:hAnsi="Arial"/>
          <w:b/>
          <w:bCs/>
          <w:color w:val="1F2937"/>
          <w:sz w:val="28"/>
          <w:szCs w:val="28"/>
        </w:rPr>
        <w:t xml:space="preserve">4.9 Real estate / DC-cluster land → India mirror</w:t>
      </w:r>
    </w:p>
    <w:p>
      <w:pPr>
        <w:spacing w:after="60" w:before="60" w:line="300"/>
        <w:jc w:val="left"/>
      </w:pPr>
      <w:r>
        <w:rPr>
          <w:rFonts w:ascii="Arial" w:cs="Arial" w:eastAsia="Arial" w:hAnsi="Arial"/>
          <w:b w:val="false"/>
          <w:bCs w:val="false"/>
          <w:i w:val="false"/>
          <w:iCs w:val="false"/>
          <w:color w:val="1F2937"/>
          <w:sz w:val="20"/>
          <w:szCs w:val="20"/>
        </w:rPr>
        <w:t xml:space="preserve">India has a more direct real-estate-to-DC pivot story than the US. Anant Raj is the clearest example — a listed real estate developer that fundamentally repositioned as a DC operator. Several other Indian REITs and developers have DC adjacency angles that are less developed.</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500"/>
        <w:gridCol w:w="4680"/>
      </w:tblGrid>
      <w:tr>
        <w:trPr>
          <w:tblHeader/>
        </w:trPr>
        <w:tc>
          <w:tcPr>
            <w:tcW w:type="dxa" w:w="220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US name</w:t>
            </w:r>
          </w:p>
        </w:tc>
        <w:tc>
          <w:tcPr>
            <w:tcW w:type="dxa" w:w="170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India mirror</w:t>
            </w:r>
          </w:p>
        </w:tc>
        <w:tc>
          <w:tcPr>
            <w:tcW w:type="dxa" w:w="150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Tier</w:t>
            </w:r>
          </w:p>
        </w:tc>
        <w:tc>
          <w:tcPr>
            <w:tcW w:type="dxa" w:w="468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Reasoning</w:t>
            </w:r>
          </w:p>
        </w:tc>
      </w:tr>
      <w:tr>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Prologis (industrial REIT)</w:t>
            </w:r>
          </w:p>
        </w:tc>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Anant Raj</w:t>
            </w:r>
          </w:p>
        </w:tc>
        <w:tc>
          <w:tcPr>
            <w:tcW w:type="dxa" w:w="15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A · Already run</w:t>
            </w:r>
          </w:p>
        </w:tc>
        <w:tc>
          <w:tcPr>
            <w:tcW w:type="dxa" w:w="46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Real estate developer turned DC operator; ran 15-20x</w:t>
            </w:r>
          </w:p>
        </w:tc>
      </w:tr>
      <w:tr>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Tract (DC land)</w:t>
            </w:r>
          </w:p>
        </w:tc>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DLF / Brigade / Prestige</w:t>
            </w:r>
          </w:p>
        </w:tc>
        <w:tc>
          <w:tcPr>
            <w:tcW w:type="dxa" w:w="1500"/>
            <w:tcBorders>
              <w:top w:val="single" w:color="D1D5DB" w:sz="4"/>
              <w:left w:val="single" w:color="D1D5DB" w:sz="4"/>
              <w:bottom w:val="single" w:color="D1D5DB" w:sz="4"/>
              <w:right w:val="single" w:color="D1D5DB" w:sz="4"/>
            </w:tcBorders>
            <w:shd w:fill="D1FAE5"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C · Yet to discover</w:t>
            </w:r>
          </w:p>
        </w:tc>
        <w:tc>
          <w:tcPr>
            <w:tcW w:type="dxa" w:w="46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Large Indian developers with DC-adjacency land banks in NCR/BLR/HYD; partial mix</w:t>
            </w:r>
          </w:p>
        </w:tc>
      </w:tr>
      <w:tr>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Tract (DC land)</w:t>
            </w:r>
          </w:p>
        </w:tc>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Mindspace REIT / Embassy REIT</w:t>
            </w:r>
          </w:p>
        </w:tc>
        <w:tc>
          <w:tcPr>
            <w:tcW w:type="dxa" w:w="1500"/>
            <w:tcBorders>
              <w:top w:val="single" w:color="D1D5DB" w:sz="4"/>
              <w:left w:val="single" w:color="D1D5DB" w:sz="4"/>
              <w:bottom w:val="single" w:color="D1D5DB" w:sz="4"/>
              <w:right w:val="single" w:color="D1D5DB" w:sz="4"/>
            </w:tcBorders>
            <w:shd w:fill="D1FAE5"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C · Yet to discover</w:t>
            </w:r>
          </w:p>
        </w:tc>
        <w:tc>
          <w:tcPr>
            <w:tcW w:type="dxa" w:w="46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Commercial REITs with IT-park exposure adjacent to DC clusters; partial mix</w:t>
            </w:r>
          </w:p>
        </w:tc>
      </w:tr>
    </w:tbl>
    <w:p>
      <w:pPr>
        <w:spacing w:after="0" w:before="120"/>
      </w:pPr>
    </w:p>
    <w:p>
      <w:r>
        <w:br w:type="page"/>
      </w:r>
    </w:p>
    <w:p>
      <w:pPr>
        <w:pStyle w:val="Heading2"/>
        <w:spacing w:after="160" w:before="360"/>
      </w:pPr>
      <w:r>
        <w:rPr>
          <w:rFonts w:ascii="Arial" w:cs="Arial" w:eastAsia="Arial" w:hAnsi="Arial"/>
          <w:b/>
          <w:bCs/>
          <w:color w:val="1F2937"/>
          <w:sz w:val="28"/>
          <w:szCs w:val="28"/>
        </w:rPr>
        <w:t xml:space="preserve">4.10 GPU asset financing / infrastructure capital → India mirror</w:t>
      </w:r>
    </w:p>
    <w:p>
      <w:pPr>
        <w:spacing w:after="60" w:before="60" w:line="300"/>
        <w:jc w:val="left"/>
      </w:pPr>
      <w:r>
        <w:rPr>
          <w:rFonts w:ascii="Arial" w:cs="Arial" w:eastAsia="Arial" w:hAnsi="Arial"/>
          <w:b w:val="false"/>
          <w:bCs w:val="false"/>
          <w:i w:val="false"/>
          <w:iCs w:val="false"/>
          <w:color w:val="1F2937"/>
          <w:sz w:val="20"/>
          <w:szCs w:val="20"/>
        </w:rPr>
        <w:t xml:space="preserve">This is the area where India lags the US most acutely. The US has a sophisticated GPU-backed lending ecosystem (Blackstone $7.5B for CoreWeave, similar facilities elsewhere). India has no equivalent listed AI-infra asset manager and the financing comes through traditional corporate balance sheets (RIL, Adani, Tata).</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500"/>
        <w:gridCol w:w="4680"/>
      </w:tblGrid>
      <w:tr>
        <w:trPr>
          <w:tblHeader/>
        </w:trPr>
        <w:tc>
          <w:tcPr>
            <w:tcW w:type="dxa" w:w="220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US name</w:t>
            </w:r>
          </w:p>
        </w:tc>
        <w:tc>
          <w:tcPr>
            <w:tcW w:type="dxa" w:w="170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India mirror</w:t>
            </w:r>
          </w:p>
        </w:tc>
        <w:tc>
          <w:tcPr>
            <w:tcW w:type="dxa" w:w="150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Tier</w:t>
            </w:r>
          </w:p>
        </w:tc>
        <w:tc>
          <w:tcPr>
            <w:tcW w:type="dxa" w:w="468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Reasoning</w:t>
            </w:r>
          </w:p>
        </w:tc>
      </w:tr>
      <w:tr>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Blackstone (DC infra)</w:t>
            </w:r>
          </w:p>
        </w:tc>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iCs/>
                <w:color w:val="1F2937"/>
                <w:sz w:val="18"/>
                <w:szCs w:val="18"/>
              </w:rPr>
              <w:t xml:space="preserve">(structural gap)</w:t>
            </w:r>
          </w:p>
        </w:tc>
        <w:tc>
          <w:tcPr>
            <w:tcW w:type="dxa" w:w="15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w:t>
            </w:r>
          </w:p>
        </w:tc>
        <w:tc>
          <w:tcPr>
            <w:tcW w:type="dxa" w:w="46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No Indian listed AI/DC-specialist infrastructure asset manager</w:t>
            </w:r>
          </w:p>
        </w:tc>
      </w:tr>
      <w:tr>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DigitalBridge</w:t>
            </w:r>
          </w:p>
        </w:tc>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iCs/>
                <w:color w:val="1F2937"/>
                <w:sz w:val="18"/>
                <w:szCs w:val="18"/>
              </w:rPr>
              <w:t xml:space="preserve">(structural gap)</w:t>
            </w:r>
          </w:p>
        </w:tc>
        <w:tc>
          <w:tcPr>
            <w:tcW w:type="dxa" w:w="15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w:t>
            </w:r>
          </w:p>
        </w:tc>
        <w:tc>
          <w:tcPr>
            <w:tcW w:type="dxa" w:w="46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No Indian pure-play digital-infra asset manager</w:t>
            </w:r>
          </w:p>
        </w:tc>
      </w:tr>
      <w:tr>
        <w:tc>
          <w:tcPr>
            <w:tcW w:type="dxa" w:w="22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Apollo / KKR (broad PE)</w:t>
            </w:r>
          </w:p>
        </w:tc>
        <w:tc>
          <w:tcPr>
            <w:tcW w:type="dxa" w:w="17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iCs/>
                <w:color w:val="1F2937"/>
                <w:sz w:val="18"/>
                <w:szCs w:val="18"/>
              </w:rPr>
              <w:t xml:space="preserve">(no listed equivalent)</w:t>
            </w:r>
          </w:p>
        </w:tc>
        <w:tc>
          <w:tcPr>
            <w:tcW w:type="dxa" w:w="15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w:t>
            </w:r>
          </w:p>
        </w:tc>
        <w:tc>
          <w:tcPr>
            <w:tcW w:type="dxa" w:w="46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Indian PE/credit market does not have public-listed equivalents at scale</w:t>
            </w:r>
          </w:p>
        </w:tc>
      </w:tr>
    </w:tbl>
    <w:p>
      <w:pPr>
        <w:spacing w:after="0" w:before="120"/>
      </w:pPr>
    </w:p>
    <w:p>
      <w:r>
        <w:br w:type="page"/>
      </w:r>
    </w:p>
    <w:p>
      <w:pPr>
        <w:pStyle w:val="Heading1"/>
        <w:spacing w:after="200" w:before="480"/>
      </w:pPr>
      <w:r>
        <w:rPr>
          <w:rFonts w:ascii="Arial" w:cs="Arial" w:eastAsia="Arial" w:hAnsi="Arial"/>
          <w:b/>
          <w:bCs/>
          <w:color w:val="1F2937"/>
          <w:sz w:val="36"/>
          <w:szCs w:val="36"/>
        </w:rPr>
        <w:t xml:space="preserve">5. Structural gaps in the Indian listed universe</w:t>
      </w:r>
    </w:p>
    <w:p>
      <w:pPr>
        <w:spacing w:after="60" w:before="60" w:line="300"/>
        <w:jc w:val="left"/>
      </w:pPr>
      <w:r>
        <w:rPr>
          <w:rFonts w:ascii="Arial" w:cs="Arial" w:eastAsia="Arial" w:hAnsi="Arial"/>
          <w:b w:val="false"/>
          <w:bCs w:val="false"/>
          <w:i w:val="false"/>
          <w:iCs w:val="false"/>
          <w:color w:val="1F2937"/>
          <w:sz w:val="20"/>
          <w:szCs w:val="20"/>
        </w:rPr>
        <w:t xml:space="preserve">The mirror map above reveals seven specific places where the Indian listed universe has no clean equivalent to a US asset-owner segment. These are the gaps that will either remain gaps (because of regulatory or structural reasons) or get filled (because of IPOs and corporate restructuring) over the next 24-36 months. Tracking them is the cleanest way to identify forward catalysts.</w:t>
      </w:r>
    </w:p>
    <w:p>
      <w:pPr>
        <w:pStyle w:val="Heading3"/>
        <w:spacing w:after="120" w:before="280"/>
      </w:pPr>
      <w:r>
        <w:rPr>
          <w:rFonts w:ascii="Arial" w:cs="Arial" w:eastAsia="Arial" w:hAnsi="Arial"/>
          <w:b/>
          <w:bCs/>
          <w:color w:val="2563EB"/>
          <w:sz w:val="24"/>
          <w:szCs w:val="24"/>
        </w:rPr>
        <w:t xml:space="preserve">Gap 1 — No pure-play hyperscale DC operators listed</w:t>
      </w:r>
    </w:p>
    <w:p>
      <w:pPr>
        <w:spacing w:after="60" w:before="60" w:line="300"/>
        <w:jc w:val="left"/>
      </w:pPr>
      <w:r>
        <w:rPr>
          <w:rFonts w:ascii="Arial" w:cs="Arial" w:eastAsia="Arial" w:hAnsi="Arial"/>
          <w:b w:val="false"/>
          <w:bCs w:val="false"/>
          <w:i w:val="false"/>
          <w:iCs w:val="false"/>
          <w:color w:val="1F2937"/>
          <w:sz w:val="20"/>
          <w:szCs w:val="20"/>
        </w:rPr>
        <w:t xml:space="preserve">CtrlS, Yotta, Nxtra, Sify Infinit Spaces are all private. The closest listed proxies (Anant Raj, RailTel) are imperfect. The IPO pipeline FY26-27 will close this gap. When any of the four prices, the multiple of the entire listed Indian DC cluster resets.</w:t>
      </w:r>
    </w:p>
    <w:p>
      <w:pPr>
        <w:pStyle w:val="Heading3"/>
        <w:spacing w:after="120" w:before="280"/>
      </w:pPr>
      <w:r>
        <w:rPr>
          <w:rFonts w:ascii="Arial" w:cs="Arial" w:eastAsia="Arial" w:hAnsi="Arial"/>
          <w:b/>
          <w:bCs/>
          <w:color w:val="2563EB"/>
          <w:sz w:val="24"/>
          <w:szCs w:val="24"/>
        </w:rPr>
        <w:t xml:space="preserve">Gap 2 — No US-style merchant power market</w:t>
      </w:r>
    </w:p>
    <w:p>
      <w:pPr>
        <w:spacing w:after="60" w:before="60" w:line="300"/>
        <w:jc w:val="left"/>
      </w:pPr>
      <w:r>
        <w:rPr>
          <w:rFonts w:ascii="Arial" w:cs="Arial" w:eastAsia="Arial" w:hAnsi="Arial"/>
          <w:b w:val="false"/>
          <w:bCs w:val="false"/>
          <w:i w:val="false"/>
          <w:iCs w:val="false"/>
          <w:color w:val="1F2937"/>
          <w:sz w:val="20"/>
          <w:szCs w:val="20"/>
        </w:rPr>
        <w:t xml:space="preserve">Indian power is sold predominantly under long-term PPAs to state discoms. There is no PJM or ERCOT equivalent that allows merchant generators to capture pricing power from DC demand. The Indian rerate, if it comes, will need to operate through bilateral PPA pricing premiums — not through wholesale price spikes. This caps the magnitude of any Indian Talen-style rerate.</w:t>
      </w:r>
    </w:p>
    <w:p>
      <w:pPr>
        <w:pStyle w:val="Heading3"/>
        <w:spacing w:after="120" w:before="280"/>
      </w:pPr>
      <w:r>
        <w:rPr>
          <w:rFonts w:ascii="Arial" w:cs="Arial" w:eastAsia="Arial" w:hAnsi="Arial"/>
          <w:b/>
          <w:bCs/>
          <w:color w:val="2563EB"/>
          <w:sz w:val="24"/>
          <w:szCs w:val="24"/>
        </w:rPr>
        <w:t xml:space="preserve">Gap 3 — No listed Indian merchant nuclear</w:t>
      </w:r>
    </w:p>
    <w:p>
      <w:pPr>
        <w:spacing w:after="60" w:before="60" w:line="300"/>
        <w:jc w:val="left"/>
      </w:pPr>
      <w:r>
        <w:rPr>
          <w:rFonts w:ascii="Arial" w:cs="Arial" w:eastAsia="Arial" w:hAnsi="Arial"/>
          <w:b w:val="false"/>
          <w:bCs w:val="false"/>
          <w:i w:val="false"/>
          <w:iCs w:val="false"/>
          <w:color w:val="1F2937"/>
          <w:sz w:val="20"/>
          <w:szCs w:val="20"/>
        </w:rPr>
        <w:t xml:space="preserve">NPCIL is government-owned and not listed. There is no Constellation analogue. The proposed Atomic Energy Act amendments could allow private nuclear participation in India, but the buildout is 5-10 years. Don't price nuclear into a 2026-2028 thesis. This is the largest single structural difference between US and India in the asset-owner cohort.</w:t>
      </w:r>
    </w:p>
    <w:p>
      <w:pPr>
        <w:pStyle w:val="Heading3"/>
        <w:spacing w:after="120" w:before="280"/>
      </w:pPr>
      <w:r>
        <w:rPr>
          <w:rFonts w:ascii="Arial" w:cs="Arial" w:eastAsia="Arial" w:hAnsi="Arial"/>
          <w:b/>
          <w:bCs/>
          <w:color w:val="2563EB"/>
          <w:sz w:val="24"/>
          <w:szCs w:val="24"/>
        </w:rPr>
        <w:t xml:space="preserve">Gap 4 — No listed BTC-miner pivot equivalent</w:t>
      </w:r>
    </w:p>
    <w:p>
      <w:pPr>
        <w:spacing w:after="60" w:before="60" w:line="300"/>
        <w:jc w:val="left"/>
      </w:pPr>
      <w:r>
        <w:rPr>
          <w:rFonts w:ascii="Arial" w:cs="Arial" w:eastAsia="Arial" w:hAnsi="Arial"/>
          <w:b w:val="false"/>
          <w:bCs w:val="false"/>
          <w:i w:val="false"/>
          <w:iCs w:val="false"/>
          <w:color w:val="1F2937"/>
          <w:sz w:val="20"/>
          <w:szCs w:val="20"/>
        </w:rPr>
        <w:t xml:space="preserve">Bitcoin mining is structurally regulated away in India. The IREN, Hut 8, Cipher cohort has no Indian analogue. The functional equivalent would be a power-rich entity redirecting stranded capacity to AI hosting — but no Indian listed company has done this cleanly.</w:t>
      </w:r>
    </w:p>
    <w:p>
      <w:pPr>
        <w:pStyle w:val="Heading3"/>
        <w:spacing w:after="120" w:before="280"/>
      </w:pPr>
      <w:r>
        <w:rPr>
          <w:rFonts w:ascii="Arial" w:cs="Arial" w:eastAsia="Arial" w:hAnsi="Arial"/>
          <w:b/>
          <w:bCs/>
          <w:color w:val="2563EB"/>
          <w:sz w:val="24"/>
          <w:szCs w:val="24"/>
        </w:rPr>
        <w:t xml:space="preserve">Gap 5 — No listed AI-infrastructure asset manager</w:t>
      </w:r>
    </w:p>
    <w:p>
      <w:pPr>
        <w:spacing w:after="60" w:before="60" w:line="300"/>
        <w:jc w:val="left"/>
      </w:pPr>
      <w:r>
        <w:rPr>
          <w:rFonts w:ascii="Arial" w:cs="Arial" w:eastAsia="Arial" w:hAnsi="Arial"/>
          <w:b w:val="false"/>
          <w:bCs w:val="false"/>
          <w:i w:val="false"/>
          <w:iCs w:val="false"/>
          <w:color w:val="1F2937"/>
          <w:sz w:val="20"/>
          <w:szCs w:val="20"/>
        </w:rPr>
        <w:t xml:space="preserve">Blackstone, Apollo, KKR, GIP, Brookfield, DigitalBridge — the US has six listed names that monetize the AI infrastructure boom through asset management. India has none. The closest is the IFC / NIIF-style government-led vehicles which are not listed.</w:t>
      </w:r>
    </w:p>
    <w:p>
      <w:pPr>
        <w:pStyle w:val="Heading3"/>
        <w:spacing w:after="120" w:before="280"/>
      </w:pPr>
      <w:r>
        <w:rPr>
          <w:rFonts w:ascii="Arial" w:cs="Arial" w:eastAsia="Arial" w:hAnsi="Arial"/>
          <w:b/>
          <w:bCs/>
          <w:color w:val="2563EB"/>
          <w:sz w:val="24"/>
          <w:szCs w:val="24"/>
        </w:rPr>
        <w:t xml:space="preserve">Gap 6 — No listed DC-specialist EPC / shell builder</w:t>
      </w:r>
    </w:p>
    <w:p>
      <w:pPr>
        <w:spacing w:after="60" w:before="60" w:line="300"/>
        <w:jc w:val="left"/>
      </w:pPr>
      <w:r>
        <w:rPr>
          <w:rFonts w:ascii="Arial" w:cs="Arial" w:eastAsia="Arial" w:hAnsi="Arial"/>
          <w:b w:val="false"/>
          <w:bCs w:val="false"/>
          <w:i w:val="false"/>
          <w:iCs w:val="false"/>
          <w:color w:val="1F2937"/>
          <w:sz w:val="20"/>
          <w:szCs w:val="20"/>
        </w:rPr>
        <w:t xml:space="preserve">L&amp;T, Techno Electric, ITD Cementation are diversified contractors with DC mix; there is no Indian listed equivalent of DPR Construction or Holder. Comfort Systems USA has no clean Indian listed equivalent at scale. Blue Star is closest on the mechanical-electrical side.</w:t>
      </w:r>
    </w:p>
    <w:p>
      <w:pPr>
        <w:pStyle w:val="Heading3"/>
        <w:spacing w:after="120" w:before="280"/>
      </w:pPr>
      <w:r>
        <w:rPr>
          <w:rFonts w:ascii="Arial" w:cs="Arial" w:eastAsia="Arial" w:hAnsi="Arial"/>
          <w:b/>
          <w:bCs/>
          <w:color w:val="2563EB"/>
          <w:sz w:val="24"/>
          <w:szCs w:val="24"/>
        </w:rPr>
        <w:t xml:space="preserve">Gap 7 — No listed modular DC manufacturer</w:t>
      </w:r>
    </w:p>
    <w:p>
      <w:pPr>
        <w:spacing w:after="60" w:before="60" w:line="300"/>
        <w:jc w:val="left"/>
      </w:pPr>
      <w:r>
        <w:rPr>
          <w:rFonts w:ascii="Arial" w:cs="Arial" w:eastAsia="Arial" w:hAnsi="Arial"/>
          <w:b w:val="false"/>
          <w:bCs w:val="false"/>
          <w:i w:val="false"/>
          <w:iCs w:val="false"/>
          <w:color w:val="1F2937"/>
          <w:sz w:val="20"/>
          <w:szCs w:val="20"/>
        </w:rPr>
        <w:t xml:space="preserve">Vertiv's modular DC business has no Indian listed equivalent. The Indian DC build-out is happening with traditional brick-and-mortar construction, which is structurally slower than US modular-led builds. This is an opportunity for either a new entrant or a pivot by an existing manufacturer (Netweb, Black Box) to fill the gap.</w:t>
      </w:r>
    </w:p>
    <w:p>
      <w:r>
        <w:br w:type="page"/>
      </w:r>
    </w:p>
    <w:p>
      <w:pPr>
        <w:pStyle w:val="Heading1"/>
        <w:spacing w:after="200" w:before="480"/>
      </w:pPr>
      <w:r>
        <w:rPr>
          <w:rFonts w:ascii="Arial" w:cs="Arial" w:eastAsia="Arial" w:hAnsi="Arial"/>
          <w:b/>
          <w:bCs/>
          <w:color w:val="1F2937"/>
          <w:sz w:val="36"/>
          <w:szCs w:val="36"/>
        </w:rPr>
        <w:t xml:space="preserve">6. Investment framework and watch triggers</w:t>
      </w:r>
    </w:p>
    <w:p>
      <w:pPr>
        <w:pStyle w:val="Heading2"/>
        <w:spacing w:after="160" w:before="360"/>
      </w:pPr>
      <w:r>
        <w:rPr>
          <w:rFonts w:ascii="Arial" w:cs="Arial" w:eastAsia="Arial" w:hAnsi="Arial"/>
          <w:b/>
          <w:bCs/>
          <w:color w:val="1F2937"/>
          <w:sz w:val="28"/>
          <w:szCs w:val="28"/>
        </w:rPr>
        <w:t xml:space="preserve">6.1 What the US asset-owner cycle teaches</w:t>
      </w:r>
    </w:p>
    <w:p>
      <w:pPr>
        <w:spacing w:after="60" w:before="60" w:line="300"/>
        <w:jc w:val="left"/>
      </w:pPr>
      <w:r>
        <w:rPr>
          <w:rFonts w:ascii="Arial" w:cs="Arial" w:eastAsia="Arial" w:hAnsi="Arial"/>
          <w:b w:val="false"/>
          <w:bCs w:val="false"/>
          <w:i w:val="false"/>
          <w:iCs w:val="false"/>
          <w:color w:val="1F2937"/>
          <w:sz w:val="20"/>
          <w:szCs w:val="20"/>
        </w:rPr>
        <w:t xml:space="preserve">Three principles travel from the US to the India read.</w:t>
      </w:r>
    </w:p>
    <w:p>
      <w:pPr>
        <w:spacing w:after="100" w:before="200"/>
      </w:pPr>
      <w:r>
        <w:rPr>
          <w:rFonts w:ascii="Arial" w:cs="Arial" w:eastAsia="Arial" w:hAnsi="Arial"/>
          <w:b/>
          <w:bCs/>
          <w:color w:val="1F2937"/>
          <w:sz w:val="22"/>
          <w:szCs w:val="22"/>
        </w:rPr>
        <w:t xml:space="preserve">Principle 1 — The largest rerate goes to inherited optionality, not to new build</w:t>
      </w:r>
    </w:p>
    <w:p>
      <w:pPr>
        <w:spacing w:after="60" w:before="60" w:line="300"/>
        <w:jc w:val="left"/>
      </w:pPr>
      <w:r>
        <w:rPr>
          <w:rFonts w:ascii="Arial" w:cs="Arial" w:eastAsia="Arial" w:hAnsi="Arial"/>
          <w:b w:val="false"/>
          <w:bCs w:val="false"/>
          <w:i w:val="false"/>
          <w:iCs w:val="false"/>
          <w:color w:val="1F2937"/>
          <w:sz w:val="20"/>
          <w:szCs w:val="20"/>
        </w:rPr>
        <w:t xml:space="preserve">The single biggest mistake in mapping the US cycle to India is assuming new capacity builds will replicate the US rerate. They will not. The rerate goes to assets that already existed before the cycle started, that happen to have the right combination of land + power + interconnection. In India this means watching for: NTPC sites that can be repositioned for DC hosting; Tata Power's Trombay and Mumbai distribution territory; Adani Power's existing site footprint; Reliance's Jamnagar captive power; existing Indian DC operators with developable land adjacent to existing sites.</w:t>
      </w:r>
    </w:p>
    <w:p>
      <w:pPr>
        <w:spacing w:after="100" w:before="200"/>
      </w:pPr>
      <w:r>
        <w:rPr>
          <w:rFonts w:ascii="Arial" w:cs="Arial" w:eastAsia="Arial" w:hAnsi="Arial"/>
          <w:b/>
          <w:bCs/>
          <w:color w:val="1F2937"/>
          <w:sz w:val="22"/>
          <w:szCs w:val="22"/>
        </w:rPr>
        <w:t xml:space="preserve">Principle 2 — A single signed deal will reset multiples across the cohort</w:t>
      </w:r>
    </w:p>
    <w:p>
      <w:pPr>
        <w:spacing w:after="60" w:before="60" w:line="300"/>
        <w:jc w:val="left"/>
      </w:pPr>
      <w:r>
        <w:rPr>
          <w:rFonts w:ascii="Arial" w:cs="Arial" w:eastAsia="Arial" w:hAnsi="Arial"/>
          <w:b w:val="false"/>
          <w:bCs w:val="false"/>
          <w:i w:val="false"/>
          <w:iCs w:val="false"/>
          <w:color w:val="1F2937"/>
          <w:sz w:val="20"/>
          <w:szCs w:val="20"/>
        </w:rPr>
        <w:t xml:space="preserve">Talen-AWS was the deal that ignited the US cycle. CoreWeave-Microsoft was the deal that defined the neocloud category. Microsoft-TMI was the confirmation. Each took weeks to pull the cohort up by 30-100%. India has not yet had its equivalent of either deal type — a flagship hyperscaler bilateral PPA with an Indian genco at premium pricing, or a hyperscaler-grade commitment to an Indian neocloud at scale. When one of these happens, the window to position will be measured in weeks not quarters. Set up alerts for press releases tied to these patterns.</w:t>
      </w:r>
    </w:p>
    <w:p>
      <w:pPr>
        <w:spacing w:after="100" w:before="200"/>
      </w:pPr>
      <w:r>
        <w:rPr>
          <w:rFonts w:ascii="Arial" w:cs="Arial" w:eastAsia="Arial" w:hAnsi="Arial"/>
          <w:b/>
          <w:bCs/>
          <w:color w:val="1F2937"/>
          <w:sz w:val="22"/>
          <w:szCs w:val="22"/>
        </w:rPr>
        <w:t xml:space="preserve">Principle 3 — The infrastructure-fund consolidation reduces public-market opportunity</w:t>
      </w:r>
    </w:p>
    <w:p>
      <w:pPr>
        <w:spacing w:after="60" w:before="60" w:line="300"/>
        <w:jc w:val="left"/>
      </w:pPr>
      <w:r>
        <w:rPr>
          <w:rFonts w:ascii="Arial" w:cs="Arial" w:eastAsia="Arial" w:hAnsi="Arial"/>
          <w:b w:val="false"/>
          <w:bCs w:val="false"/>
          <w:i w:val="false"/>
          <w:iCs w:val="false"/>
          <w:color w:val="1F2937"/>
          <w:sz w:val="20"/>
          <w:szCs w:val="20"/>
        </w:rPr>
        <w:t xml:space="preserve">The US showed how Blackstone, KKR, DigitalBridge, GIP, Brookfield consolidated wholesale DC assets privately before the rerate. The same is happening in India — Carlyle in Nxtra, ST Telemedia in STT GDC, etc. The Indian IPO pipeline (CtrlS, Yotta, Sify Infinit, Nxtra) is the moment that public investors can participate. Track the pre-IPO indicative pricing. When CtrlS or Yotta prices, expect 30-100% rallies in E2E Networks, Anant Raj, and possibly RailTel within 30 days.</w:t>
      </w:r>
    </w:p>
    <w:p>
      <w:pPr>
        <w:pStyle w:val="Heading2"/>
        <w:spacing w:after="160" w:before="360"/>
      </w:pPr>
      <w:r>
        <w:rPr>
          <w:rFonts w:ascii="Arial" w:cs="Arial" w:eastAsia="Arial" w:hAnsi="Arial"/>
          <w:b/>
          <w:bCs/>
          <w:color w:val="1F2937"/>
          <w:sz w:val="28"/>
          <w:szCs w:val="28"/>
        </w:rPr>
        <w:t xml:space="preserve">6.2 Specific Indian names to watch by segment</w:t>
      </w:r>
    </w:p>
    <w:p>
      <w:pPr>
        <w:spacing w:after="60" w:before="60" w:line="300"/>
        <w:jc w:val="left"/>
      </w:pPr>
      <w:r>
        <w:rPr>
          <w:rFonts w:ascii="Arial" w:cs="Arial" w:eastAsia="Arial" w:hAnsi="Arial"/>
          <w:b w:val="false"/>
          <w:bCs w:val="false"/>
          <w:i w:val="false"/>
          <w:iCs w:val="false"/>
          <w:color w:val="1F2937"/>
          <w:sz w:val="20"/>
          <w:szCs w:val="20"/>
        </w:rPr>
        <w:t xml:space="preserve">Distilling the entire mirror map into a focused watch list:</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500"/>
        <w:gridCol w:w="4580"/>
      </w:tblGrid>
      <w:tr>
        <w:trPr>
          <w:tblHeader/>
        </w:trPr>
        <w:tc>
          <w:tcPr>
            <w:tcW w:type="dxa" w:w="240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Segment</w:t>
            </w:r>
          </w:p>
        </w:tc>
        <w:tc>
          <w:tcPr>
            <w:tcW w:type="dxa" w:w="160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Top watch</w:t>
            </w:r>
          </w:p>
        </w:tc>
        <w:tc>
          <w:tcPr>
            <w:tcW w:type="dxa" w:w="150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Tier today</w:t>
            </w:r>
          </w:p>
        </w:tc>
        <w:tc>
          <w:tcPr>
            <w:tcW w:type="dxa" w:w="458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FFFFFF"/>
                <w:sz w:val="18"/>
                <w:szCs w:val="18"/>
              </w:rPr>
              <w:t xml:space="preserve">Why on the list</w:t>
            </w:r>
          </w:p>
        </w:tc>
      </w:tr>
      <w:tr>
        <w:tc>
          <w:tcPr>
            <w:tcW w:type="dxa" w:w="24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Wholesale colocation</w:t>
            </w:r>
          </w:p>
        </w:tc>
        <w:tc>
          <w:tcPr>
            <w:tcW w:type="dxa" w:w="16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Anant Raj</w:t>
            </w:r>
          </w:p>
        </w:tc>
        <w:tc>
          <w:tcPr>
            <w:tcW w:type="dxa" w:w="15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A · Already run</w:t>
            </w:r>
          </w:p>
        </w:tc>
        <w:tc>
          <w:tcPr>
            <w:tcW w:type="dxa" w:w="45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Pure-play execution risk only; further legs depend on hyperscaler customer announcements</w:t>
            </w:r>
          </w:p>
        </w:tc>
      </w:tr>
      <w:tr>
        <w:tc>
          <w:tcPr>
            <w:tcW w:type="dxa" w:w="24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Wholesale colocation</w:t>
            </w:r>
          </w:p>
        </w:tc>
        <w:tc>
          <w:tcPr>
            <w:tcW w:type="dxa" w:w="16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RailTel</w:t>
            </w:r>
          </w:p>
        </w:tc>
        <w:tc>
          <w:tcPr>
            <w:tcW w:type="dxa" w:w="15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A · Already run</w:t>
            </w:r>
          </w:p>
        </w:tc>
        <w:tc>
          <w:tcPr>
            <w:tcW w:type="dxa" w:w="45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PSU mid-cap; government DC + fiber; lower-beta but still DC-attribution growing</w:t>
            </w:r>
          </w:p>
        </w:tc>
      </w:tr>
      <w:tr>
        <w:tc>
          <w:tcPr>
            <w:tcW w:type="dxa" w:w="24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Interconnection / fiber</w:t>
            </w:r>
          </w:p>
        </w:tc>
        <w:tc>
          <w:tcPr>
            <w:tcW w:type="dxa" w:w="16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Tata Communications</w:t>
            </w:r>
          </w:p>
        </w:tc>
        <w:tc>
          <w:tcPr>
            <w:tcW w:type="dxa" w:w="1500"/>
            <w:tcBorders>
              <w:top w:val="single" w:color="D1D5DB" w:sz="4"/>
              <w:left w:val="single" w:color="D1D5DB" w:sz="4"/>
              <w:bottom w:val="single" w:color="D1D5DB" w:sz="4"/>
              <w:right w:val="single" w:color="D1D5DB" w:sz="4"/>
            </w:tcBorders>
            <w:shd w:fill="FEF3C7"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B · Picking up</w:t>
            </w:r>
          </w:p>
        </w:tc>
        <w:tc>
          <w:tcPr>
            <w:tcW w:type="dxa" w:w="45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Indian Equinix analogue; rerate room remains if hyperscaler-grade contracts disclosed</w:t>
            </w:r>
          </w:p>
        </w:tc>
      </w:tr>
      <w:tr>
        <w:tc>
          <w:tcPr>
            <w:tcW w:type="dxa" w:w="24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Neocloud / GPUaaS</w:t>
            </w:r>
          </w:p>
        </w:tc>
        <w:tc>
          <w:tcPr>
            <w:tcW w:type="dxa" w:w="16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E2E Networks</w:t>
            </w:r>
          </w:p>
        </w:tc>
        <w:tc>
          <w:tcPr>
            <w:tcW w:type="dxa" w:w="1500"/>
            <w:tcBorders>
              <w:top w:val="single" w:color="D1D5DB" w:sz="4"/>
              <w:left w:val="single" w:color="D1D5DB" w:sz="4"/>
              <w:bottom w:val="single" w:color="D1D5DB" w:sz="4"/>
              <w:right w:val="single" w:color="D1D5DB" w:sz="4"/>
            </w:tcBorders>
            <w:shd w:fill="D1FAE5"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C · Yet to discover</w:t>
            </w:r>
          </w:p>
        </w:tc>
        <w:tc>
          <w:tcPr>
            <w:tcW w:type="dxa" w:w="45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Cleanest CoreWeave analogue; thin float; binary outcome on a flagship customer announcement</w:t>
            </w:r>
          </w:p>
        </w:tc>
      </w:tr>
      <w:tr>
        <w:tc>
          <w:tcPr>
            <w:tcW w:type="dxa" w:w="24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Power + adjacency</w:t>
            </w:r>
          </w:p>
        </w:tc>
        <w:tc>
          <w:tcPr>
            <w:tcW w:type="dxa" w:w="16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Tata Power</w:t>
            </w:r>
          </w:p>
        </w:tc>
        <w:tc>
          <w:tcPr>
            <w:tcW w:type="dxa" w:w="15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A · Already run</w:t>
            </w:r>
          </w:p>
        </w:tc>
        <w:tc>
          <w:tcPr>
            <w:tcW w:type="dxa" w:w="45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Trombay + Delhi/Mumbai distribution; cleanest 'asset-owner-with-adjacency' in India</w:t>
            </w:r>
          </w:p>
        </w:tc>
      </w:tr>
      <w:tr>
        <w:tc>
          <w:tcPr>
            <w:tcW w:type="dxa" w:w="24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Power + adjacency</w:t>
            </w:r>
          </w:p>
        </w:tc>
        <w:tc>
          <w:tcPr>
            <w:tcW w:type="dxa" w:w="16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NTPC Green Energy</w:t>
            </w:r>
          </w:p>
        </w:tc>
        <w:tc>
          <w:tcPr>
            <w:tcW w:type="dxa" w:w="15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A · Already run</w:t>
            </w:r>
          </w:p>
        </w:tc>
        <w:tc>
          <w:tcPr>
            <w:tcW w:type="dxa" w:w="45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Nov 2024 listing; cleanest 'renewable PPA to DC' Indian story</w:t>
            </w:r>
          </w:p>
        </w:tc>
      </w:tr>
      <w:tr>
        <w:tc>
          <w:tcPr>
            <w:tcW w:type="dxa" w:w="24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Power + adjacency</w:t>
            </w:r>
          </w:p>
        </w:tc>
        <w:tc>
          <w:tcPr>
            <w:tcW w:type="dxa" w:w="16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Reliance Industries</w:t>
            </w:r>
          </w:p>
        </w:tc>
        <w:tc>
          <w:tcPr>
            <w:tcW w:type="dxa" w:w="15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A · Already run</w:t>
            </w:r>
          </w:p>
        </w:tc>
        <w:tc>
          <w:tcPr>
            <w:tcW w:type="dxa" w:w="45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Jamnagar AI Giga + Jio AI Cloud + behind-the-meter renewable; the most-vertically-integrated Indian DC + power play</w:t>
            </w:r>
          </w:p>
        </w:tc>
      </w:tr>
      <w:tr>
        <w:tc>
          <w:tcPr>
            <w:tcW w:type="dxa" w:w="24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Hyperscale-style</w:t>
            </w:r>
          </w:p>
        </w:tc>
        <w:tc>
          <w:tcPr>
            <w:tcW w:type="dxa" w:w="16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Adani Enterprises</w:t>
            </w:r>
          </w:p>
        </w:tc>
        <w:tc>
          <w:tcPr>
            <w:tcW w:type="dxa" w:w="1500"/>
            <w:tcBorders>
              <w:top w:val="single" w:color="D1D5DB" w:sz="4"/>
              <w:left w:val="single" w:color="D1D5DB" w:sz="4"/>
              <w:bottom w:val="single" w:color="D1D5DB" w:sz="4"/>
              <w:right w:val="single" w:color="D1D5DB" w:sz="4"/>
            </w:tcBorders>
            <w:shd w:fill="FEF3C7"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B · Picking up</w:t>
            </w:r>
          </w:p>
        </w:tc>
        <w:tc>
          <w:tcPr>
            <w:tcW w:type="dxa" w:w="45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AdaniConneX JV with EdgeConneX; governance overhang remains a discount factor</w:t>
            </w:r>
          </w:p>
        </w:tc>
      </w:tr>
      <w:tr>
        <w:tc>
          <w:tcPr>
            <w:tcW w:type="dxa" w:w="24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EPC / Shell build</w:t>
            </w:r>
          </w:p>
        </w:tc>
        <w:tc>
          <w:tcPr>
            <w:tcW w:type="dxa" w:w="16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Techno Electric</w:t>
            </w:r>
          </w:p>
        </w:tc>
        <w:tc>
          <w:tcPr>
            <w:tcW w:type="dxa" w:w="15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A · Already run</w:t>
            </w:r>
          </w:p>
        </w:tc>
        <w:tc>
          <w:tcPr>
            <w:tcW w:type="dxa" w:w="45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Cleanest mid-cap Indian DC EPC; small enough that DC mix moves the financials</w:t>
            </w:r>
          </w:p>
        </w:tc>
      </w:tr>
      <w:tr>
        <w:tc>
          <w:tcPr>
            <w:tcW w:type="dxa" w:w="24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EPC / Shell build</w:t>
            </w:r>
          </w:p>
        </w:tc>
        <w:tc>
          <w:tcPr>
            <w:tcW w:type="dxa" w:w="16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Larsen &amp; Toubro</w:t>
            </w:r>
          </w:p>
        </w:tc>
        <w:tc>
          <w:tcPr>
            <w:tcW w:type="dxa" w:w="15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A · Already run</w:t>
            </w:r>
          </w:p>
        </w:tc>
        <w:tc>
          <w:tcPr>
            <w:tcW w:type="dxa" w:w="45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Mega-cap exposure; small mix shift but established counter-party for hyperscaler contracts</w:t>
            </w:r>
          </w:p>
        </w:tc>
      </w:tr>
      <w:tr>
        <w:tc>
          <w:tcPr>
            <w:tcW w:type="dxa" w:w="24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Cooling / MEP</w:t>
            </w:r>
          </w:p>
        </w:tc>
        <w:tc>
          <w:tcPr>
            <w:tcW w:type="dxa" w:w="16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Blue Star</w:t>
            </w:r>
          </w:p>
        </w:tc>
        <w:tc>
          <w:tcPr>
            <w:tcW w:type="dxa" w:w="15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A · Already run</w:t>
            </w:r>
          </w:p>
        </w:tc>
        <w:tc>
          <w:tcPr>
            <w:tcW w:type="dxa" w:w="45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Closest Indian Comfort Systems analogue; DC mix growing</w:t>
            </w:r>
          </w:p>
        </w:tc>
      </w:tr>
      <w:tr>
        <w:tc>
          <w:tcPr>
            <w:tcW w:type="dxa" w:w="24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Server / Integrators</w:t>
            </w:r>
          </w:p>
        </w:tc>
        <w:tc>
          <w:tcPr>
            <w:tcW w:type="dxa" w:w="16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Netweb Technologies</w:t>
            </w:r>
          </w:p>
        </w:tc>
        <w:tc>
          <w:tcPr>
            <w:tcW w:type="dxa" w:w="15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A · Already run</w:t>
            </w:r>
          </w:p>
        </w:tc>
        <w:tc>
          <w:tcPr>
            <w:tcW w:type="dxa" w:w="45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Indian GPU server OEM; closest Super Micro analogue (without the SMCI overhang)</w:t>
            </w:r>
          </w:p>
        </w:tc>
      </w:tr>
      <w:tr>
        <w:tc>
          <w:tcPr>
            <w:tcW w:type="dxa" w:w="24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Private IPO pipeline</w:t>
            </w:r>
          </w:p>
        </w:tc>
        <w:tc>
          <w:tcPr>
            <w:tcW w:type="dxa" w:w="160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bCs/>
                <w:i w:val="false"/>
                <w:iCs w:val="false"/>
                <w:color w:val="1F2937"/>
                <w:sz w:val="18"/>
                <w:szCs w:val="18"/>
              </w:rPr>
              <w:t xml:space="preserve">CtrlS, Yotta, Nxtra, Sify Infinit</w:t>
            </w:r>
          </w:p>
        </w:tc>
        <w:tc>
          <w:tcPr>
            <w:tcW w:type="dxa" w:w="1500"/>
            <w:tcBorders>
              <w:top w:val="single" w:color="D1D5DB" w:sz="4"/>
              <w:left w:val="single" w:color="D1D5DB" w:sz="4"/>
              <w:bottom w:val="single" w:color="D1D5DB" w:sz="4"/>
              <w:right w:val="single" w:color="D1D5DB" w:sz="4"/>
            </w:tcBorders>
            <w:shd w:fill="F3F4F6" w:val="clear"/>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Private</w:t>
            </w:r>
          </w:p>
        </w:tc>
        <w:tc>
          <w:tcPr>
            <w:tcW w:type="dxa" w:w="4580"/>
            <w:tcBorders>
              <w:top w:val="single" w:color="D1D5DB" w:sz="4"/>
              <w:left w:val="single" w:color="D1D5DB" w:sz="4"/>
              <w:bottom w:val="single" w:color="D1D5DB" w:sz="4"/>
              <w:right w:val="single" w:color="D1D5DB" w:sz="4"/>
            </w:tcBorders>
            <w:tcMar>
              <w:top w:type="dxa" w:w="80"/>
              <w:left w:type="dxa" w:w="100"/>
              <w:bottom w:type="dxa" w:w="80"/>
              <w:right w:type="dxa" w:w="100"/>
            </w:tcMar>
            <w:vAlign w:val="center"/>
          </w:tcPr>
          <w:p>
            <w:pPr>
              <w:spacing w:after="30" w:before="30" w:line="260"/>
              <w:jc w:val="left"/>
            </w:pPr>
            <w:r>
              <w:rPr>
                <w:rFonts w:ascii="Arial" w:cs="Arial" w:eastAsia="Arial" w:hAnsi="Arial"/>
                <w:b w:val="false"/>
                <w:bCs w:val="false"/>
                <w:i w:val="false"/>
                <w:iCs w:val="false"/>
                <w:color w:val="1F2937"/>
                <w:sz w:val="18"/>
                <w:szCs w:val="18"/>
              </w:rPr>
              <w:t xml:space="preserve">When any prices, the listed cohort rerates immediately. Track SEBI filings.</w:t>
            </w:r>
          </w:p>
        </w:tc>
      </w:tr>
    </w:tbl>
    <w:p>
      <w:pPr>
        <w:spacing w:after="0" w:before="120"/>
      </w:pPr>
    </w:p>
    <w:p>
      <w:pPr>
        <w:pStyle w:val="Heading2"/>
        <w:spacing w:after="160" w:before="360"/>
      </w:pPr>
      <w:r>
        <w:rPr>
          <w:rFonts w:ascii="Arial" w:cs="Arial" w:eastAsia="Arial" w:hAnsi="Arial"/>
          <w:b/>
          <w:bCs/>
          <w:color w:val="1F2937"/>
          <w:sz w:val="28"/>
          <w:szCs w:val="28"/>
        </w:rPr>
        <w:t xml:space="preserve">6.3 Trigger events to monitor</w:t>
      </w:r>
    </w:p>
    <w:p>
      <w:pPr>
        <w:spacing w:after="60" w:before="60" w:line="300"/>
        <w:jc w:val="left"/>
      </w:pPr>
      <w:r>
        <w:rPr>
          <w:rFonts w:ascii="Arial" w:cs="Arial" w:eastAsia="Arial" w:hAnsi="Arial"/>
          <w:b w:val="false"/>
          <w:bCs w:val="false"/>
          <w:i w:val="false"/>
          <w:iCs w:val="false"/>
          <w:color w:val="1F2937"/>
          <w:sz w:val="20"/>
          <w:szCs w:val="20"/>
        </w:rPr>
        <w:t xml:space="preserve">Operationalizing the framework into specific alert conditions for the Indian DC asset-owner cohort:</w:t>
      </w:r>
    </w:p>
    <w:p>
      <w:pPr>
        <w:pStyle w:val="ListParagraph"/>
        <w:numPr>
          <w:ilvl w:val="0"/>
          <w:numId w:val="2"/>
        </w:numPr>
        <w:spacing w:after="40" w:before="40" w:line="280"/>
      </w:pPr>
      <w:r>
        <w:rPr>
          <w:rFonts w:ascii="Arial" w:cs="Arial" w:eastAsia="Arial" w:hAnsi="Arial"/>
          <w:b/>
          <w:bCs/>
          <w:i w:val="false"/>
          <w:iCs w:val="false"/>
          <w:color w:val="1F2937"/>
          <w:sz w:val="20"/>
          <w:szCs w:val="20"/>
        </w:rPr>
        <w:t xml:space="preserve">Hyperscaler bilateral PPA announcements</w:t>
      </w:r>
      <w:r>
        <w:rPr>
          <w:rFonts w:ascii="Arial" w:cs="Arial" w:eastAsia="Arial" w:hAnsi="Arial"/>
          <w:b w:val="false"/>
          <w:bCs w:val="false"/>
          <w:i w:val="false"/>
          <w:iCs w:val="false"/>
          <w:color w:val="1F2937"/>
          <w:sz w:val="20"/>
          <w:szCs w:val="20"/>
        </w:rPr>
        <w:t xml:space="preserve"> — any AWS, Microsoft, Google, Meta MoU with an Indian genco (NTPC, Tata Power, JSW Energy, Adani Power, Reliance) at premium pricing, especially behind-the-meter</w:t>
      </w:r>
    </w:p>
    <w:p>
      <w:pPr>
        <w:pStyle w:val="ListParagraph"/>
        <w:numPr>
          <w:ilvl w:val="0"/>
          <w:numId w:val="2"/>
        </w:numPr>
        <w:spacing w:after="40" w:before="40" w:line="280"/>
      </w:pPr>
      <w:r>
        <w:rPr>
          <w:rFonts w:ascii="Arial" w:cs="Arial" w:eastAsia="Arial" w:hAnsi="Arial"/>
          <w:b/>
          <w:bCs/>
          <w:i w:val="false"/>
          <w:iCs w:val="false"/>
          <w:color w:val="1F2937"/>
          <w:sz w:val="20"/>
          <w:szCs w:val="20"/>
        </w:rPr>
        <w:t xml:space="preserve">Indian neocloud customer wins</w:t>
      </w:r>
      <w:r>
        <w:rPr>
          <w:rFonts w:ascii="Arial" w:cs="Arial" w:eastAsia="Arial" w:hAnsi="Arial"/>
          <w:b w:val="false"/>
          <w:bCs w:val="false"/>
          <w:i w:val="false"/>
          <w:iCs w:val="false"/>
          <w:color w:val="1F2937"/>
          <w:sz w:val="20"/>
          <w:szCs w:val="20"/>
        </w:rPr>
        <w:t xml:space="preserve"> — E2E Networks signing a multi-year contract with a major AI lab, Indian or global, with quantified GPU commitment</w:t>
      </w:r>
    </w:p>
    <w:p>
      <w:pPr>
        <w:pStyle w:val="ListParagraph"/>
        <w:numPr>
          <w:ilvl w:val="0"/>
          <w:numId w:val="2"/>
        </w:numPr>
        <w:spacing w:after="40" w:before="40" w:line="280"/>
      </w:pPr>
      <w:r>
        <w:rPr>
          <w:rFonts w:ascii="Arial" w:cs="Arial" w:eastAsia="Arial" w:hAnsi="Arial"/>
          <w:b/>
          <w:bCs/>
          <w:i w:val="false"/>
          <w:iCs w:val="false"/>
          <w:color w:val="1F2937"/>
          <w:sz w:val="20"/>
          <w:szCs w:val="20"/>
        </w:rPr>
        <w:t xml:space="preserve">DC IPO pricing</w:t>
      </w:r>
      <w:r>
        <w:rPr>
          <w:rFonts w:ascii="Arial" w:cs="Arial" w:eastAsia="Arial" w:hAnsi="Arial"/>
          <w:b w:val="false"/>
          <w:bCs w:val="false"/>
          <w:i w:val="false"/>
          <w:iCs w:val="false"/>
          <w:color w:val="1F2937"/>
          <w:sz w:val="20"/>
          <w:szCs w:val="20"/>
        </w:rPr>
        <w:t xml:space="preserve"> — CtrlS, Yotta, Nxtra, Sify Infinit Spaces filing or pricing; expect 30-100% rallies in adjacent listed names in 30 days</w:t>
      </w:r>
    </w:p>
    <w:p>
      <w:pPr>
        <w:pStyle w:val="ListParagraph"/>
        <w:numPr>
          <w:ilvl w:val="0"/>
          <w:numId w:val="2"/>
        </w:numPr>
        <w:spacing w:after="40" w:before="40" w:line="280"/>
      </w:pPr>
      <w:r>
        <w:rPr>
          <w:rFonts w:ascii="Arial" w:cs="Arial" w:eastAsia="Arial" w:hAnsi="Arial"/>
          <w:b/>
          <w:bCs/>
          <w:i w:val="false"/>
          <w:iCs w:val="false"/>
          <w:color w:val="1F2937"/>
          <w:sz w:val="20"/>
          <w:szCs w:val="20"/>
        </w:rPr>
        <w:t xml:space="preserve">Government policy</w:t>
      </w:r>
      <w:r>
        <w:rPr>
          <w:rFonts w:ascii="Arial" w:cs="Arial" w:eastAsia="Arial" w:hAnsi="Arial"/>
          <w:b w:val="false"/>
          <w:bCs w:val="false"/>
          <w:i w:val="false"/>
          <w:iCs w:val="false"/>
          <w:color w:val="1F2937"/>
          <w:sz w:val="20"/>
          <w:szCs w:val="20"/>
        </w:rPr>
        <w:t xml:space="preserve"> — IT Act amendments classifying DCs as infrastructure (currently in policy pipeline); Atomic Energy Act amendments enabling private nuclear participation</w:t>
      </w:r>
    </w:p>
    <w:p>
      <w:pPr>
        <w:pStyle w:val="ListParagraph"/>
        <w:numPr>
          <w:ilvl w:val="0"/>
          <w:numId w:val="2"/>
        </w:numPr>
        <w:spacing w:after="40" w:before="40" w:line="280"/>
      </w:pPr>
      <w:r>
        <w:rPr>
          <w:rFonts w:ascii="Arial" w:cs="Arial" w:eastAsia="Arial" w:hAnsi="Arial"/>
          <w:b/>
          <w:bCs/>
          <w:i w:val="false"/>
          <w:iCs w:val="false"/>
          <w:color w:val="1F2937"/>
          <w:sz w:val="20"/>
          <w:szCs w:val="20"/>
        </w:rPr>
        <w:t xml:space="preserve">Indian hyperscaler announcements</w:t>
      </w:r>
      <w:r>
        <w:rPr>
          <w:rFonts w:ascii="Arial" w:cs="Arial" w:eastAsia="Arial" w:hAnsi="Arial"/>
          <w:b w:val="false"/>
          <w:bCs w:val="false"/>
          <w:i w:val="false"/>
          <w:iCs w:val="false"/>
          <w:color w:val="1F2937"/>
          <w:sz w:val="20"/>
          <w:szCs w:val="20"/>
        </w:rPr>
        <w:t xml:space="preserve"> — Reliance Jio, Adani, Tata announcing concrete AI capex with megawatt commitments (currently announced in aspirational terms only)</w:t>
      </w:r>
    </w:p>
    <w:p>
      <w:pPr>
        <w:pStyle w:val="ListParagraph"/>
        <w:numPr>
          <w:ilvl w:val="0"/>
          <w:numId w:val="2"/>
        </w:numPr>
        <w:spacing w:after="40" w:before="40" w:line="280"/>
      </w:pPr>
      <w:r>
        <w:rPr>
          <w:rFonts w:ascii="Arial" w:cs="Arial" w:eastAsia="Arial" w:hAnsi="Arial"/>
          <w:b/>
          <w:bCs/>
          <w:i w:val="false"/>
          <w:iCs w:val="false"/>
          <w:color w:val="1F2937"/>
          <w:sz w:val="20"/>
          <w:szCs w:val="20"/>
        </w:rPr>
        <w:t xml:space="preserve">Custom silicon or NVIDIA-cloud-partner accreditation</w:t>
      </w:r>
      <w:r>
        <w:rPr>
          <w:rFonts w:ascii="Arial" w:cs="Arial" w:eastAsia="Arial" w:hAnsi="Arial"/>
          <w:b w:val="false"/>
          <w:bCs w:val="false"/>
          <w:i w:val="false"/>
          <w:iCs w:val="false"/>
          <w:color w:val="1F2937"/>
          <w:sz w:val="20"/>
          <w:szCs w:val="20"/>
        </w:rPr>
        <w:t xml:space="preserve"> — any Indian listed entity gaining NVIDIA cloud partner status (Yotta got it 2024 but is private)</w:t>
      </w:r>
    </w:p>
    <w:p>
      <w:pPr>
        <w:spacing w:after="0" w:before="200"/>
      </w:pPr>
    </w:p>
    <w:p>
      <w:pPr>
        <w:spacing w:after="60" w:before="60" w:line="300"/>
        <w:jc w:val="left"/>
      </w:pPr>
      <w:r>
        <w:rPr>
          <w:rFonts w:ascii="Arial" w:cs="Arial" w:eastAsia="Arial" w:hAnsi="Arial"/>
          <w:b w:val="false"/>
          <w:bCs w:val="false"/>
          <w:i w:val="false"/>
          <w:iCs w:val="false"/>
          <w:color w:val="1F2937"/>
          <w:sz w:val="20"/>
          <w:szCs w:val="20"/>
        </w:rPr>
        <w:t xml:space="preserve">The single most actionable forward signal is the first hyperscaler-grade bilateral PPA at premium pricing with an Indian listed genco. The Indian Talen-moment does not exist yet. When it occurs the window will close in weeks. Build the watchlist now, set up the alerts, and be ready to size.</w:t>
      </w:r>
    </w:p>
    <w:p>
      <w:pPr>
        <w:spacing w:after="0" w:before="200"/>
      </w:pPr>
    </w:p>
    <w:p>
      <w:pPr>
        <w:spacing w:after="60" w:before="60" w:line="300"/>
        <w:jc w:val="left"/>
      </w:pPr>
      <w:r>
        <w:rPr>
          <w:rFonts w:ascii="Arial" w:cs="Arial" w:eastAsia="Arial" w:hAnsi="Arial"/>
          <w:b w:val="false"/>
          <w:bCs w:val="false"/>
          <w:i/>
          <w:iCs/>
          <w:color w:val="6B7280"/>
          <w:sz w:val="18"/>
          <w:szCs w:val="18"/>
        </w:rPr>
        <w:t xml:space="preserve">End of report.</w:t>
      </w:r>
    </w:p>
    <w:sectPr>
      <w:headerReference w:type="default" r:id="rId7"/>
      <w:footerReference w:type="default" r:id="rId8"/>
      <w:pgSz w:w="12240" w:h="15840" w:orient="portrait"/>
      <w:pgMar w:top="1080" w:right="1080" w:bottom="1080" w:left="1080" w:header="48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spacing w:after="0" w:before="100"/>
      <w:jc w:val="left"/>
    </w:pPr>
    <w:r>
      <w:rPr>
        <w:rFonts w:ascii="Arial" w:cs="Arial" w:eastAsia="Arial" w:hAnsi="Arial"/>
        <w:color w:val="6B7280"/>
        <w:sz w:val="16"/>
        <w:szCs w:val="16"/>
      </w:rPr>
      <w:t xml:space="preserve">Aiko Inc. Research · </w:t>
    </w:r>
    <w:r>
      <w:rPr>
        <w:rFonts w:ascii="Arial" w:cs="Arial" w:eastAsia="Arial" w:hAnsi="Arial"/>
        <w:i/>
        <w:iCs/>
        <w:color w:val="6B7280"/>
        <w:sz w:val="16"/>
        <w:szCs w:val="16"/>
      </w:rPr>
      <w:t xml:space="preserve">Confidential · </w:t>
    </w:r>
    <w:r>
      <w:rPr>
        <w:rFonts w:ascii="Arial" w:cs="Arial" w:eastAsia="Arial" w:hAnsi="Arial"/>
        <w:color w:val="6B72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spacing w:after="100" w:before="0"/>
      <w:jc w:val="left"/>
    </w:pPr>
    <w:r>
      <w:rPr>
        <w:rFonts w:ascii="Arial" w:cs="Arial" w:eastAsia="Arial" w:hAnsi="Arial"/>
        <w:i/>
        <w:iCs/>
        <w:color w:val="6B7280"/>
        <w:sz w:val="16"/>
        <w:szCs w:val="16"/>
      </w:rPr>
      <w:t xml:space="preserve">DC Asset-Owner Universe · US Detail + India Mirror 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F2937"/>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F2937"/>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 Asset-Owner Universe Report</dc:title>
  <dc:creator>Aiko Inc. Research</dc:creator>
  <cp:lastModifiedBy>Un-named</cp:lastModifiedBy>
  <cp:revision>1</cp:revision>
  <dcterms:created xsi:type="dcterms:W3CDTF">2026-05-15T03:22:42.556Z</dcterms:created>
  <dcterms:modified xsi:type="dcterms:W3CDTF">2026-05-15T03:22:42.571Z</dcterms:modified>
</cp:coreProperties>
</file>

<file path=docProps/custom.xml><?xml version="1.0" encoding="utf-8"?>
<Properties xmlns="http://schemas.openxmlformats.org/officeDocument/2006/custom-properties" xmlns:vt="http://schemas.openxmlformats.org/officeDocument/2006/docPropsVTypes"/>
</file>