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Calibri" w:cs="Calibri" w:eastAsia="Calibri" w:hAnsi="Calibri"/>
          <w:b/>
          <w:bCs/>
          <w:color w:val="0F172A"/>
          <w:sz w:val="56"/>
          <w:szCs w:val="56"/>
        </w:rPr>
        <w:t xml:space="preserve">DATA CENTER VALUE CHAIN</w:t>
      </w:r>
    </w:p>
    <w:p>
      <w:pPr>
        <w:spacing w:after="200"/>
        <w:jc w:val="left"/>
      </w:pPr>
      <w:r>
        <w:rPr>
          <w:rFonts w:ascii="Calibri" w:cs="Calibri" w:eastAsia="Calibri" w:hAnsi="Calibri"/>
          <w:color w:val="1E40AF"/>
          <w:sz w:val="32"/>
          <w:szCs w:val="32"/>
        </w:rPr>
        <w:t xml:space="preserve">5-Layer Reframe with US Proofs &amp; India Mirror Tiers</w:t>
      </w:r>
    </w:p>
    <w:p>
      <w:pPr>
        <w:spacing w:after="400"/>
        <w:jc w:val="left"/>
      </w:pPr>
      <w:r>
        <w:rPr>
          <w:rFonts w:ascii="Calibri" w:cs="Calibri" w:eastAsia="Calibri" w:hAnsi="Calibri"/>
          <w:i/>
          <w:iCs/>
          <w:color w:val="475569"/>
          <w:sz w:val="24"/>
          <w:szCs w:val="24"/>
        </w:rPr>
        <w:t xml:space="preserve">From Electrons to End-User: Who Made the Money, Where the Next Run Comes</w:t>
      </w:r>
    </w:p>
    <w:p>
      <w:pPr>
        <w:spacing w:after="60" w:before="2400"/>
        <w:jc w:val="left"/>
      </w:pPr>
      <w:r>
        <w:rPr>
          <w:rFonts w:ascii="Calibri" w:cs="Calibri" w:eastAsia="Calibri" w:hAnsi="Calibri"/>
          <w:color w:val="111827"/>
          <w:sz w:val="22"/>
          <w:szCs w:val="22"/>
        </w:rPr>
        <w:t xml:space="preserve">Sell-side / Buy-side Research</w:t>
      </w:r>
    </w:p>
    <w:p>
      <w:pPr>
        <w:spacing w:after="60"/>
        <w:jc w:val="left"/>
      </w:pPr>
      <w:r>
        <w:rPr>
          <w:rFonts w:ascii="Calibri" w:cs="Calibri" w:eastAsia="Calibri" w:hAnsi="Calibri"/>
          <w:color w:val="111827"/>
          <w:sz w:val="22"/>
          <w:szCs w:val="22"/>
        </w:rPr>
        <w:t xml:space="preserve">Sector: Technology / Industrials / Power</w:t>
      </w:r>
    </w:p>
    <w:p>
      <w:pPr>
        <w:spacing w:after="60"/>
        <w:jc w:val="left"/>
      </w:pPr>
      <w:r>
        <w:rPr>
          <w:rFonts w:ascii="Calibri" w:cs="Calibri" w:eastAsia="Calibri" w:hAnsi="Calibri"/>
          <w:color w:val="111827"/>
          <w:sz w:val="22"/>
          <w:szCs w:val="22"/>
        </w:rPr>
        <w:t xml:space="preserve">Geography: US Reference → India Opportunity Map</w:t>
      </w:r>
    </w:p>
    <w:p>
      <w:pPr>
        <w:spacing w:after="60"/>
        <w:jc w:val="left"/>
      </w:pPr>
      <w:r>
        <w:rPr>
          <w:rFonts w:ascii="Calibri" w:cs="Calibri" w:eastAsia="Calibri" w:hAnsi="Calibri"/>
          <w:color w:val="111827"/>
          <w:sz w:val="22"/>
          <w:szCs w:val="22"/>
        </w:rPr>
        <w:t xml:space="preserve">May 2026</w:t>
      </w:r>
    </w:p>
    <w:p>
      <w:pPr>
        <w:spacing w:after="60" w:before="200"/>
        <w:jc w:val="left"/>
      </w:pPr>
      <w:r>
        <w:rPr>
          <w:rFonts w:ascii="Calibri" w:cs="Calibri" w:eastAsia="Calibri" w:hAnsi="Calibri"/>
          <w:b/>
          <w:bCs/>
          <w:color w:val="B91C1C"/>
          <w:sz w:val="22"/>
          <w:szCs w:val="22"/>
        </w:rPr>
        <w:t xml:space="preserve">CONFIDENTIAL — FOR INTERNAL CLIENT-PITCH USE</w:t>
      </w:r>
    </w:p>
    <w:p>
      <w:r>
        <w:br w:type="page"/>
      </w:r>
    </w:p>
    <w:p>
      <w:pPr>
        <w:pStyle w:val="Heading1"/>
        <w:spacing w:after="180" w:before="360"/>
      </w:pPr>
      <w:r>
        <w:rPr>
          <w:rFonts w:ascii="Calibri" w:cs="Calibri" w:eastAsia="Calibri" w:hAnsi="Calibri"/>
          <w:b/>
          <w:bCs/>
          <w:color w:val="0F172A"/>
          <w:sz w:val="36"/>
          <w:szCs w:val="36"/>
        </w:rPr>
        <w:t xml:space="preserve">How to read this report</w:t>
      </w:r>
    </w:p>
    <w:p>
      <w:pPr>
        <w:spacing w:after="60" w:before="60"/>
        <w:jc w:val="left"/>
      </w:pPr>
      <w:r>
        <w:rPr>
          <w:rFonts w:ascii="Calibri" w:cs="Calibri" w:eastAsia="Calibri" w:hAnsi="Calibri"/>
          <w:b w:val="false"/>
          <w:bCs w:val="false"/>
          <w:i w:val="false"/>
          <w:iCs w:val="false"/>
          <w:color w:val="111827"/>
          <w:sz w:val="22"/>
          <w:szCs w:val="22"/>
        </w:rPr>
        <w:t xml:space="preserve">The data center buildout is not one trade; it is at least five. Lumping NVIDIA, Vertiv, Equinix and OpenAI into a single "AI infrastructure" bucket is the analytical mistake that has caused mispricing across the cycle so far. This report breaks the value chain into five layers and analyses each separately:</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Layer 1 — Energy: </w:t>
      </w:r>
      <w:r>
        <w:rPr>
          <w:rFonts w:ascii="Calibri" w:cs="Calibri" w:eastAsia="Calibri" w:hAnsi="Calibri"/>
          <w:b w:val="false"/>
          <w:bCs w:val="false"/>
          <w:i w:val="false"/>
          <w:iCs w:val="false"/>
          <w:color w:val="111827"/>
          <w:sz w:val="22"/>
          <w:szCs w:val="22"/>
        </w:rPr>
        <w:t xml:space="preserve">electrons from generator to GPU pin. Generation, transmission, in-DC distribution, backup.</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Layer 2 — Chips: </w:t>
      </w:r>
      <w:r>
        <w:rPr>
          <w:rFonts w:ascii="Calibri" w:cs="Calibri" w:eastAsia="Calibri" w:hAnsi="Calibri"/>
          <w:b w:val="false"/>
          <w:bCs w:val="false"/>
          <w:i w:val="false"/>
          <w:iCs w:val="false"/>
          <w:color w:val="111827"/>
          <w:sz w:val="22"/>
          <w:szCs w:val="22"/>
        </w:rPr>
        <w:t xml:space="preserve">compute, memory, networking and power silicon. The dollar sink of the buildout.</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Layer 3 — Infrastructure: </w:t>
      </w:r>
      <w:r>
        <w:rPr>
          <w:rFonts w:ascii="Calibri" w:cs="Calibri" w:eastAsia="Calibri" w:hAnsi="Calibri"/>
          <w:b w:val="false"/>
          <w:bCs w:val="false"/>
          <w:i w:val="false"/>
          <w:iCs w:val="false"/>
          <w:color w:val="111827"/>
          <w:sz w:val="22"/>
          <w:szCs w:val="22"/>
        </w:rPr>
        <w:t xml:space="preserve">cooling, cables, EPC, real estate, colocation operators, fiber and servers — the building itself.</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Layer 4 — Models: </w:t>
      </w:r>
      <w:r>
        <w:rPr>
          <w:rFonts w:ascii="Calibri" w:cs="Calibri" w:eastAsia="Calibri" w:hAnsi="Calibri"/>
          <w:b w:val="false"/>
          <w:bCs w:val="false"/>
          <w:i w:val="false"/>
          <w:iCs w:val="false"/>
          <w:color w:val="111827"/>
          <w:sz w:val="22"/>
          <w:szCs w:val="22"/>
        </w:rPr>
        <w:t xml:space="preserve">foundation labs, cloud AI platforms and the IT services firms that operationalise them.</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Layer 5 — Applications: </w:t>
      </w:r>
      <w:r>
        <w:rPr>
          <w:rFonts w:ascii="Calibri" w:cs="Calibri" w:eastAsia="Calibri" w:hAnsi="Calibri"/>
          <w:b w:val="false"/>
          <w:bCs w:val="false"/>
          <w:i w:val="false"/>
          <w:iCs w:val="false"/>
          <w:color w:val="111827"/>
          <w:sz w:val="22"/>
          <w:szCs w:val="22"/>
        </w:rPr>
        <w:t xml:space="preserve">hyperscaler cloud, AI-native apps, enterprise SaaS and Indian consumer/SaaS that monetise the compute.</w:t>
      </w:r>
    </w:p>
    <w:p>
      <w:pPr>
        <w:spacing w:after="80" w:before="80"/>
      </w:pPr>
      <w:r>
        <w:rPr>
          <w:rFonts w:ascii="Calibri" w:cs="Calibri" w:eastAsia="Calibri" w:hAnsi="Calibri"/>
          <w:sz w:val="18"/>
          <w:szCs w:val="18"/>
        </w:rPr>
        <w:t xml:space="preserve"/>
      </w:r>
    </w:p>
    <w:p>
      <w:pPr>
        <w:spacing w:after="60" w:before="60"/>
        <w:jc w:val="left"/>
      </w:pPr>
      <w:r>
        <w:rPr>
          <w:rFonts w:ascii="Calibri" w:cs="Calibri" w:eastAsia="Calibri" w:hAnsi="Calibri"/>
          <w:b w:val="false"/>
          <w:bCs w:val="false"/>
          <w:i w:val="false"/>
          <w:iCs w:val="false"/>
          <w:color w:val="111827"/>
          <w:sz w:val="22"/>
          <w:szCs w:val="22"/>
        </w:rPr>
        <w:t xml:space="preserve">For every layer we cover three things: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Who made the money in the US </w:t>
      </w:r>
      <w:r>
        <w:rPr>
          <w:rFonts w:ascii="Calibri" w:cs="Calibri" w:eastAsia="Calibri" w:hAnsi="Calibri"/>
          <w:b w:val="false"/>
          <w:bCs w:val="false"/>
          <w:i w:val="false"/>
          <w:iCs w:val="false"/>
          <w:color w:val="111827"/>
          <w:sz w:val="22"/>
          <w:szCs w:val="22"/>
        </w:rPr>
        <w:t xml:space="preserve">— named companies with approximate stock moves (2023 lows → early 2026 levels), recent deal wins, and a direct proof line that ties the move to data centers (not the rest of the business).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Where the parallel sits in India </w:t>
      </w:r>
      <w:r>
        <w:rPr>
          <w:rFonts w:ascii="Calibri" w:cs="Calibri" w:eastAsia="Calibri" w:hAnsi="Calibri"/>
          <w:b w:val="false"/>
          <w:bCs w:val="false"/>
          <w:i w:val="false"/>
          <w:iCs w:val="false"/>
          <w:color w:val="111827"/>
          <w:sz w:val="22"/>
          <w:szCs w:val="22"/>
        </w:rPr>
        <w:t xml:space="preserve">— mirror companies grouped by tailwind strength and order-book visibility.</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Tiering for the pitch </w:t>
      </w:r>
      <w:r>
        <w:rPr>
          <w:rFonts w:ascii="Calibri" w:cs="Calibri" w:eastAsia="Calibri" w:hAnsi="Calibri"/>
          <w:b w:val="false"/>
          <w:bCs w:val="false"/>
          <w:i w:val="false"/>
          <w:iCs w:val="false"/>
          <w:color w:val="111827"/>
          <w:sz w:val="22"/>
          <w:szCs w:val="22"/>
        </w:rPr>
        <w:t xml:space="preserve">— every Indian name is tagged: </w:t>
      </w:r>
    </w:p>
    <w:p>
      <w:pPr>
        <w:pStyle w:val="ListParagraph"/>
        <w:numPr>
          <w:ilvl w:val="1"/>
          <w:numId w:val="2"/>
        </w:numPr>
        <w:spacing w:after="40" w:before="40"/>
      </w:pPr>
      <w:r>
        <w:rPr>
          <w:rFonts w:ascii="Calibri" w:cs="Calibri" w:eastAsia="Calibri" w:hAnsi="Calibri"/>
          <w:b/>
          <w:bCs/>
          <w:i w:val="false"/>
          <w:iCs w:val="false"/>
          <w:color w:val="374151"/>
          <w:sz w:val="22"/>
          <w:szCs w:val="22"/>
        </w:rPr>
        <w:t xml:space="preserve">Tier A — ALREADY RUN: </w:t>
      </w:r>
      <w:r>
        <w:rPr>
          <w:rFonts w:ascii="Calibri" w:cs="Calibri" w:eastAsia="Calibri" w:hAnsi="Calibri"/>
          <w:b w:val="false"/>
          <w:bCs w:val="false"/>
          <w:i w:val="false"/>
          <w:iCs w:val="false"/>
          <w:color w:val="111827"/>
          <w:sz w:val="22"/>
          <w:szCs w:val="22"/>
        </w:rPr>
        <w:t xml:space="preserve">3x+ move over the last 24-30 months on visible DC/power capex narrative. Trim/own, but the easy money is behind.</w:t>
      </w:r>
    </w:p>
    <w:p>
      <w:pPr>
        <w:pStyle w:val="ListParagraph"/>
        <w:numPr>
          <w:ilvl w:val="1"/>
          <w:numId w:val="2"/>
        </w:numPr>
        <w:spacing w:after="40" w:before="40"/>
      </w:pPr>
      <w:r>
        <w:rPr>
          <w:rFonts w:ascii="Calibri" w:cs="Calibri" w:eastAsia="Calibri" w:hAnsi="Calibri"/>
          <w:b/>
          <w:bCs/>
          <w:i w:val="false"/>
          <w:iCs w:val="false"/>
          <w:color w:val="92400E"/>
          <w:sz w:val="22"/>
          <w:szCs w:val="22"/>
        </w:rPr>
        <w:t xml:space="preserve">Tier B — PICKING UP: </w:t>
      </w:r>
      <w:r>
        <w:rPr>
          <w:rFonts w:ascii="Calibri" w:cs="Calibri" w:eastAsia="Calibri" w:hAnsi="Calibri"/>
          <w:b w:val="false"/>
          <w:bCs w:val="false"/>
          <w:i w:val="false"/>
          <w:iCs w:val="false"/>
          <w:color w:val="111827"/>
          <w:sz w:val="22"/>
          <w:szCs w:val="22"/>
        </w:rPr>
        <w:t xml:space="preserve">the rerating has started but the multiple is not stretched yet; order book visibility is improving.</w:t>
      </w:r>
    </w:p>
    <w:p>
      <w:pPr>
        <w:pStyle w:val="ListParagraph"/>
        <w:numPr>
          <w:ilvl w:val="1"/>
          <w:numId w:val="2"/>
        </w:numPr>
        <w:spacing w:after="40" w:before="40"/>
      </w:pPr>
      <w:r>
        <w:rPr>
          <w:rFonts w:ascii="Calibri" w:cs="Calibri" w:eastAsia="Calibri" w:hAnsi="Calibri"/>
          <w:b/>
          <w:bCs/>
          <w:i w:val="false"/>
          <w:iCs w:val="false"/>
          <w:color w:val="166534"/>
          <w:sz w:val="22"/>
          <w:szCs w:val="22"/>
        </w:rPr>
        <w:t xml:space="preserve">Tier C — YET TO BE DISCOVERED: </w:t>
      </w:r>
      <w:r>
        <w:rPr>
          <w:rFonts w:ascii="Calibri" w:cs="Calibri" w:eastAsia="Calibri" w:hAnsi="Calibri"/>
          <w:b w:val="false"/>
          <w:bCs w:val="false"/>
          <w:i w:val="false"/>
          <w:iCs w:val="false"/>
          <w:color w:val="111827"/>
          <w:sz w:val="22"/>
          <w:szCs w:val="22"/>
        </w:rPr>
        <w:t xml:space="preserve">real exposure, no narrative price-in, low coverage. The "next Sterlite"-style optionality.</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Methodology note on stock returns</w:t>
            </w:r>
          </w:p>
          <w:p>
            <w:pPr>
              <w:spacing w:after="20" w:before="20"/>
            </w:pPr>
            <w:r>
              <w:rPr>
                <w:rFonts w:ascii="Calibri" w:cs="Calibri" w:eastAsia="Calibri" w:hAnsi="Calibri"/>
                <w:b w:val="false"/>
                <w:bCs w:val="false"/>
                <w:i w:val="false"/>
                <w:iCs w:val="false"/>
                <w:color w:val="111827"/>
                <w:sz w:val="20"/>
                <w:szCs w:val="20"/>
              </w:rPr>
              <w:t xml:space="preserve">Stock-return ranges quoted in this report are approximate, measured from early-2023 inflection lows to early-2026 levels, and serve as directional indicators of how much of the DC theme is already in the price. They are not point-in-time quotes and should be re-pulled before any client pitch. Where a stock has moved on a non-DC catalyst (e.g. Suzlon on renewables), we have flagged this rather than attributing the move to data centers.</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Disclaimer</w:t>
            </w:r>
          </w:p>
          <w:p>
            <w:pPr>
              <w:spacing w:after="20" w:before="20"/>
            </w:pPr>
            <w:r>
              <w:rPr>
                <w:rFonts w:ascii="Calibri" w:cs="Calibri" w:eastAsia="Calibri" w:hAnsi="Calibri"/>
                <w:b w:val="false"/>
                <w:bCs w:val="false"/>
                <w:i/>
                <w:iCs/>
                <w:color w:val="111827"/>
                <w:sz w:val="20"/>
                <w:szCs w:val="20"/>
              </w:rPr>
              <w:t xml:space="preserve">This report is research output, not investment advice. The author/Claude is not a registered investment advisor. All factual data should be verified against company filings and recent market data before any client recommendation is made.</w:t>
            </w:r>
          </w:p>
        </w:tc>
      </w:tr>
    </w:tbl>
    <w:p>
      <w:r>
        <w:br w:type="page"/>
      </w:r>
    </w:p>
    <w:p>
      <w:pPr>
        <w:pStyle w:val="Heading1"/>
        <w:spacing w:after="180" w:before="360"/>
      </w:pPr>
      <w:r>
        <w:rPr>
          <w:rFonts w:ascii="Calibri" w:cs="Calibri" w:eastAsia="Calibri" w:hAnsi="Calibri"/>
          <w:b/>
          <w:bCs/>
          <w:color w:val="0F172A"/>
          <w:sz w:val="36"/>
          <w:szCs w:val="36"/>
        </w:rPr>
        <w:t xml:space="preserve">Executive Summary</w:t>
      </w:r>
    </w:p>
    <w:p>
      <w:pPr>
        <w:spacing w:after="60" w:before="60"/>
        <w:jc w:val="left"/>
      </w:pPr>
      <w:r>
        <w:rPr>
          <w:rFonts w:ascii="Calibri" w:cs="Calibri" w:eastAsia="Calibri" w:hAnsi="Calibri"/>
          <w:b w:val="false"/>
          <w:bCs w:val="false"/>
          <w:i w:val="false"/>
          <w:iCs w:val="false"/>
          <w:color w:val="111827"/>
          <w:sz w:val="22"/>
          <w:szCs w:val="22"/>
        </w:rPr>
        <w:t xml:space="preserve">The data center capex supercycle has so far concentrated value capture at two layers of the chain: the silicon layer (NVIDIA, Broadcom, AMD) and the on-site critical infrastructure layer (Vertiv, Eaton, Powell, Schneider). The middle of the chain — colocation REITs (Equinix, Digital Realty) and hyperscaler cloud — has been steady but unspectacular. The model and application layers are dominated by private companies (OpenAI, Anthropic, xAI) or are revenue-thin layers inside listed mega-caps (Microsoft, Google, Meta) — which means the listed-equity expression of "AI infrastructure" is, in the US, overwhelmingly an energy/chips/infrastructure trade.</w:t>
      </w:r>
    </w:p>
    <w:p>
      <w:pPr>
        <w:spacing w:after="80" w:before="80"/>
      </w:pPr>
      <w:r>
        <w:rPr>
          <w:rFonts w:ascii="Calibri" w:cs="Calibri" w:eastAsia="Calibri" w:hAnsi="Calibri"/>
          <w:sz w:val="18"/>
          <w:szCs w:val="18"/>
        </w:rPr>
        <w:t xml:space="preserve"/>
      </w:r>
    </w:p>
    <w:p>
      <w:pPr>
        <w:spacing w:after="60" w:before="60"/>
        <w:jc w:val="left"/>
      </w:pPr>
      <w:r>
        <w:rPr>
          <w:rFonts w:ascii="Calibri" w:cs="Calibri" w:eastAsia="Calibri" w:hAnsi="Calibri"/>
          <w:b w:val="false"/>
          <w:bCs w:val="false"/>
          <w:i w:val="false"/>
          <w:iCs w:val="false"/>
          <w:color w:val="111827"/>
          <w:sz w:val="22"/>
          <w:szCs w:val="22"/>
        </w:rPr>
        <w:t xml:space="preserve">In India, the playable surface is narrower at the chips end (no domestic GPU industry; semiconductor mission is early-stage) and at the model end (no listed frontier lab) — but materially wider at the energy and infrastructure layers, where the same global tailwinds (transformer shortage, cooling intensity, power capex) are amplified by India-specific drivers: DPDP-driven data localisation, ~₹10,300 Cr IndiaAI mission, and ~$26B+ hyperscaler commitments locked in for the next 5 years.</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Three Investable Themes for the Client Pitch</w:t>
            </w:r>
          </w:p>
          <w:p>
            <w:pPr>
              <w:spacing w:after="20" w:before="20"/>
            </w:pPr>
            <w:r>
              <w:rPr>
                <w:rFonts w:ascii="Calibri" w:cs="Calibri" w:eastAsia="Calibri" w:hAnsi="Calibri"/>
                <w:b w:val="false"/>
                <w:bCs w:val="false"/>
                <w:i w:val="false"/>
                <w:iCs w:val="false"/>
                <w:color w:val="111827"/>
                <w:sz w:val="20"/>
                <w:szCs w:val="20"/>
              </w:rPr>
              <w:t xml:space="preserve">1. Power &amp; electricals — the most durable theme. Transformer lead times at 160+ weeks. Switchgear demand 1,500 → 9,000 units/year. India listed exposure is deep and high-quality (CG Power, ABB, Siemens, Hitachi Energy, Apar). Most of Tier A here has already run 3-6x; the alpha sits in Tier B/C names: Voltamp Transformers, TD Power Systems, Schneider Electric Infrastructure, Indo Tech Transformers, Salzer Electronics, HBL Engineering.</w:t>
            </w:r>
          </w:p>
          <w:p>
            <w:pPr>
              <w:spacing w:after="20" w:before="20"/>
            </w:pPr>
            <w:r>
              <w:rPr>
                <w:rFonts w:ascii="Calibri" w:cs="Calibri" w:eastAsia="Calibri" w:hAnsi="Calibri"/>
                <w:b w:val="false"/>
                <w:bCs w:val="false"/>
                <w:i w:val="false"/>
                <w:iCs w:val="false"/>
                <w:color w:val="111827"/>
                <w:sz w:val="20"/>
                <w:szCs w:val="20"/>
              </w:rPr>
              <w:t xml:space="preserve">2. Cooling — the highest-CAGR sub-theme (26%+ in India). Liquid cooling is going from "nice-to-have" to non-optional at AI rack densities. Blue Star is the obvious play; ION Exchange and VA Tech Wabag for the water side of liquid cooling are under-covered.</w:t>
            </w:r>
          </w:p>
          <w:p>
            <w:pPr>
              <w:spacing w:after="20" w:before="20"/>
            </w:pPr>
            <w:r>
              <w:rPr>
                <w:rFonts w:ascii="Calibri" w:cs="Calibri" w:eastAsia="Calibri" w:hAnsi="Calibri"/>
                <w:b w:val="false"/>
                <w:bCs w:val="false"/>
                <w:i w:val="false"/>
                <w:iCs w:val="false"/>
                <w:color w:val="111827"/>
                <w:sz w:val="20"/>
                <w:szCs w:val="20"/>
              </w:rPr>
              <w:t xml:space="preserve">3. The pre-IPO colo wave — Sify Infinit (SEBI-cleared), Nxtra (Bharti/Carlyle), CtrlS, Yotta. When these list FY26-27 they will create the first directly investable Indian DC pure-plays. Until then, Anant Raj (already-run, +15-20x), RailTel and the Adani complex remain the only listed proxies.</w:t>
            </w:r>
          </w:p>
        </w:tc>
      </w:tr>
    </w:tbl>
    <w:p>
      <w:pPr>
        <w:spacing w:after="80" w:before="80"/>
      </w:pPr>
      <w:r>
        <w:rPr>
          <w:rFonts w:ascii="Calibri" w:cs="Calibri" w:eastAsia="Calibri" w:hAnsi="Calibri"/>
          <w:sz w:val="18"/>
          <w:szCs w:val="18"/>
        </w:rPr>
        <w:t xml:space="preserve"/>
      </w:r>
    </w:p>
    <w:p>
      <w:pPr>
        <w:spacing w:after="60" w:before="60"/>
        <w:jc w:val="left"/>
      </w:pPr>
      <w:r>
        <w:rPr>
          <w:rFonts w:ascii="Calibri" w:cs="Calibri" w:eastAsia="Calibri" w:hAnsi="Calibri"/>
          <w:b w:val="false"/>
          <w:bCs w:val="false"/>
          <w:i w:val="false"/>
          <w:iCs w:val="false"/>
          <w:color w:val="111827"/>
          <w:sz w:val="22"/>
          <w:szCs w:val="22"/>
        </w:rPr>
        <w:t xml:space="preserve">The "next Sterlite Power"-style asymmetric trades — names where the institutional ownership is still thin and the DC narrative is not yet priced in — sit predominantly in three places: (a) niche transformer and switchgear specialists outside the obvious large-caps, (b) the water-treatment and HVAC supply chain that becomes critical as liquid cooling scales, and (c) the EMS/cabling/structured-connectivity vendors that supply the colocation buildout.</w:t>
      </w:r>
    </w:p>
    <w:p>
      <w:r>
        <w:br w:type="page"/>
      </w:r>
    </w:p>
    <w:p>
      <w:pPr>
        <w:pStyle w:val="Heading1"/>
        <w:spacing w:after="180" w:before="360"/>
      </w:pPr>
      <w:r>
        <w:rPr>
          <w:rFonts w:ascii="Calibri" w:cs="Calibri" w:eastAsia="Calibri" w:hAnsi="Calibri"/>
          <w:b/>
          <w:bCs/>
          <w:color w:val="0F172A"/>
          <w:sz w:val="36"/>
          <w:szCs w:val="36"/>
        </w:rPr>
        <w:t xml:space="preserve">The 5-Layer Value Chain — Master Map</w:t>
      </w:r>
    </w:p>
    <w:p>
      <w:pPr>
        <w:spacing w:after="60" w:before="60"/>
        <w:jc w:val="left"/>
      </w:pPr>
      <w:r>
        <w:rPr>
          <w:rFonts w:ascii="Calibri" w:cs="Calibri" w:eastAsia="Calibri" w:hAnsi="Calibri"/>
          <w:b w:val="false"/>
          <w:bCs w:val="false"/>
          <w:i w:val="false"/>
          <w:iCs w:val="false"/>
          <w:color w:val="111827"/>
          <w:sz w:val="22"/>
          <w:szCs w:val="22"/>
        </w:rPr>
        <w:t xml:space="preserve">The seven-layer technical decomposition (generation, transmission, electrical, cooling, computing, colocation, fiber) reorganises cleanly into five investable buckets when viewed through a stock-selection lens:</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426"/>
      </w:tblGrid>
      <w:tr>
        <w:trPr>
          <w:tblHeader/>
        </w:trPr>
        <w:tc>
          <w:tcPr>
            <w:tcW w:type="dxa" w:w="15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2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Sub-segments</w:t>
            </w:r>
          </w:p>
        </w:tc>
        <w:tc>
          <w:tcPr>
            <w:tcW w:type="dxa" w:w="2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US Listed Names</w:t>
            </w:r>
          </w:p>
        </w:tc>
        <w:tc>
          <w:tcPr>
            <w:tcW w:type="dxa" w:w="24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Where India is exposed</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72A"/>
                <w:sz w:val="22"/>
                <w:szCs w:val="22"/>
              </w:rPr>
              <w:t xml:space="preserve">1. Energy</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Generation (gas, nuclear/SMR, renewables, fuel cells); Transmission &amp; grid; In-DC distribution (transformers, switchgear, UPS, PDU, busway); Backup (DG, BESS)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 Vernova, Constellation, Vistra, Talen, Bloom Energy, Oklo, Vertiv, Eaton, Schneider, Powell, ABB</w:t>
            </w:r>
          </w:p>
        </w:tc>
        <w:tc>
          <w:tcPr>
            <w:tcW w:type="dxa" w:w="2426"/>
            <w:tcBorders>
              <w:top w:val="single" w:color="CBD5E1" w:sz="4"/>
              <w:left w:val="single" w:color="CBD5E1" w:sz="4"/>
              <w:bottom w:val="single" w:color="CBD5E1" w:sz="4"/>
              <w:right w:val="single" w:color="CBD5E1" w:sz="4"/>
            </w:tcBorders>
            <w:shd w:fill="ECFD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DEEP. Best playable surface. ABB India, Siemens, CG Power, Hitachi Energy, Apar, KEC, Power Grid, Cummins India, Polycab, KEI. Many already-run; alpha left in mid-cap specialists.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72A"/>
                <w:sz w:val="22"/>
                <w:szCs w:val="22"/>
              </w:rPr>
              <w:t xml:space="preserve">2. Chips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GPUs, custom ASICs/XPUs, CPUs, HBM/memory, networking silicon, optical/PHY, power semis (800V), foundry</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NVIDIA, Broadcom, AMD, Marvell, Micron, Intel, ARM, TSMC (ADR), Applied Materials, Lam, KLA, Infineon, Navitas, MPS, Coherent</w:t>
            </w:r>
          </w:p>
        </w:tc>
        <w:tc>
          <w:tcPr>
            <w:tcW w:type="dxa" w:w="2426"/>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THIN. No domestic GPU industry. Plays are EMS, OSAT, semi-cap supply chain &amp; DLM: Kaynes, Syrma SGS, Dixon, Avalon, Cyient DLM, ASM Technologies, MosChip, Tata Elxsi. Long-tail bet.</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72A"/>
                <w:sz w:val="22"/>
                <w:szCs w:val="22"/>
              </w:rPr>
              <w:t xml:space="preserve">3. Infrastructure</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Cooling (CRAH, liquid, immersion); Cables (power + fiber); EPC &amp; construction; Land/REIT; Colocation operators; Servers/racks; Subsea cables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Vertiv (cooling), Equinix, Digital Realty, Iron Mountain, American Tower (DC arm), Super Micro, Dell, Corning, Ciena, Lumen</w:t>
            </w:r>
          </w:p>
        </w:tc>
        <w:tc>
          <w:tcPr>
            <w:tcW w:type="dxa" w:w="2426"/>
            <w:tcBorders>
              <w:top w:val="single" w:color="CBD5E1" w:sz="4"/>
              <w:left w:val="single" w:color="CBD5E1" w:sz="4"/>
              <w:bottom w:val="single" w:color="CBD5E1" w:sz="4"/>
              <w:right w:val="single" w:color="CBD5E1" w:sz="4"/>
            </w:tcBorders>
            <w:shd w:fill="ECFDF5"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DEEP. Blue Star, Voltas, Thermax, Kirloskar (cooling); L&amp;T, Techno Electric (EPC); Anant Raj, RailTel, AdaniConneX, Sify, Tata Communications (colo/fiber). Most direct pure-plays sit in pre-IPO pipeline (Sify Infinit, Nxtra, CtrlS, Yotta).</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72A"/>
                <w:sz w:val="22"/>
                <w:szCs w:val="22"/>
              </w:rPr>
              <w:t xml:space="preserve">4. Models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Frontier model labs; cloud AI platforms (Bedrock, Azure OpenAI, Vertex); open-weight; AI-services consulting</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Mostly PRIVATE: OpenAI, Anthropic, xAI. Listed proxy = Microsoft, Google, Meta. Pure-play listed = Palantir, C3.ai (thin)</w:t>
            </w:r>
          </w:p>
        </w:tc>
        <w:tc>
          <w:tcPr>
            <w:tcW w:type="dxa" w:w="2426"/>
            <w:tcBorders>
              <w:top w:val="single" w:color="CBD5E1" w:sz="4"/>
              <w:left w:val="single" w:color="CBD5E1" w:sz="4"/>
              <w:bottom w:val="single" w:color="CBD5E1" w:sz="4"/>
              <w:right w:val="single" w:color="CBD5E1" w:sz="4"/>
            </w:tcBorders>
            <w:shd w:fill="FEFCE8"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NARROW. Foundation labs (Sarvam, Krutrim) are private. Listed proxy = IT services with GenAI capex: Persistent, Coforge, LTIMindtree, Mphasis, TCS, Tata Elxsi, Happiest Minds.</w:t>
            </w:r>
          </w:p>
        </w:tc>
      </w:tr>
      <w:tr>
        <w:tc>
          <w:tcPr>
            <w:tcW w:type="dxa" w:w="15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0F172A"/>
                <w:sz w:val="22"/>
                <w:szCs w:val="22"/>
              </w:rPr>
              <w:t xml:space="preserve">5. Applications</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Hyperscaler cloud; AI-native consumer apps; enterprise SaaS; vertical SaaS; AI-enabled traditional businesses</w:t>
            </w:r>
          </w:p>
        </w:tc>
        <w:tc>
          <w:tcPr>
            <w:tcW w:type="dxa" w:w="2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Microsoft, Amazon, Google, Meta, Adobe, Salesforce, ServiceNow, Palantir, Perplexity (private), OpenAI (private)</w:t>
            </w:r>
          </w:p>
        </w:tc>
        <w:tc>
          <w:tcPr>
            <w:tcW w:type="dxa" w:w="2426"/>
            <w:tcBorders>
              <w:top w:val="single" w:color="CBD5E1" w:sz="4"/>
              <w:left w:val="single" w:color="CBD5E1" w:sz="4"/>
              <w:bottom w:val="single" w:color="CBD5E1" w:sz="4"/>
              <w:right w:val="single" w:color="CBD5E1" w:sz="4"/>
            </w:tcBorders>
            <w:shd w:fill="FEFCE8"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MEDIUM. Tata Comm, Bharti Airtel (Nxtra), Zomato, PB Fintech, Info Edge, Newgen, Intellect Design, Tanla, Affle, Zaggle, KPIT.</w:t>
            </w:r>
          </w:p>
        </w:tc>
      </w:tr>
    </w:tbl>
    <w:p>
      <w:pPr>
        <w:spacing w:after="80" w:before="80"/>
      </w:pPr>
      <w:r>
        <w:rPr>
          <w:rFonts w:ascii="Calibri" w:cs="Calibri" w:eastAsia="Calibri" w:hAnsi="Calibri"/>
          <w:sz w:val="18"/>
          <w:szCs w:val="18"/>
        </w:rPr>
        <w:t xml:space="preserve"/>
      </w:r>
    </w:p>
    <w:p>
      <w:pPr>
        <w:spacing w:after="60" w:before="60"/>
        <w:jc w:val="left"/>
      </w:pPr>
      <w:r>
        <w:rPr>
          <w:rFonts w:ascii="Calibri" w:cs="Calibri" w:eastAsia="Calibri" w:hAnsi="Calibri"/>
          <w:b w:val="false"/>
          <w:bCs w:val="false"/>
          <w:i/>
          <w:iCs/>
          <w:color w:val="111827"/>
          <w:sz w:val="22"/>
          <w:szCs w:val="22"/>
        </w:rPr>
        <w:t xml:space="preserve">The key takeaway from the master map: India's investable exposure is concentrated at Layers 1 and 3 (Energy + Infrastructure). Layers 2 (Chips) and 4 (Models) are thin and largely option-value rather than core thesis. Layer 5 (Applications) is medium-depth and works as a thematic tail rather than a primary trade.</w:t>
      </w:r>
    </w:p>
    <w:p>
      <w:r>
        <w:br w:type="page"/>
      </w:r>
    </w:p>
    <w:p>
      <w:pPr>
        <w:pStyle w:val="Heading1"/>
        <w:spacing w:after="180" w:before="360"/>
      </w:pPr>
      <w:r>
        <w:rPr>
          <w:rFonts w:ascii="Calibri" w:cs="Calibri" w:eastAsia="Calibri" w:hAnsi="Calibri"/>
          <w:b/>
          <w:bCs/>
          <w:color w:val="0F172A"/>
          <w:sz w:val="36"/>
          <w:szCs w:val="36"/>
        </w:rPr>
        <w:t xml:space="preserve">Layer 1 — Energy</w:t>
      </w:r>
    </w:p>
    <w:p>
      <w:pPr>
        <w:spacing w:after="60" w:before="60"/>
        <w:jc w:val="left"/>
      </w:pPr>
      <w:r>
        <w:rPr>
          <w:rFonts w:ascii="Calibri" w:cs="Calibri" w:eastAsia="Calibri" w:hAnsi="Calibri"/>
          <w:b w:val="false"/>
          <w:bCs w:val="false"/>
          <w:i/>
          <w:iCs/>
          <w:color w:val="111827"/>
          <w:sz w:val="22"/>
          <w:szCs w:val="22"/>
        </w:rPr>
        <w:t xml:space="preserve">From the generator turbine to the GPU voltage regulator. This is the layer that has been the dominant constraint on the AI buildout in the US and, increasingly, in India.</w:t>
      </w:r>
    </w:p>
    <w:p>
      <w:pPr>
        <w:pStyle w:val="Heading2"/>
        <w:spacing w:after="140" w:before="280"/>
      </w:pPr>
      <w:r>
        <w:rPr>
          <w:rFonts w:ascii="Calibri" w:cs="Calibri" w:eastAsia="Calibri" w:hAnsi="Calibri"/>
          <w:b/>
          <w:bCs/>
          <w:color w:val="1E40AF"/>
          <w:sz w:val="28"/>
          <w:szCs w:val="28"/>
        </w:rPr>
        <w:t xml:space="preserve">1.1 Sub-segments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Generation: </w:t>
      </w:r>
      <w:r>
        <w:rPr>
          <w:rFonts w:ascii="Calibri" w:cs="Calibri" w:eastAsia="Calibri" w:hAnsi="Calibri"/>
          <w:b w:val="false"/>
          <w:bCs w:val="false"/>
          <w:i w:val="false"/>
          <w:iCs w:val="false"/>
          <w:color w:val="111827"/>
          <w:sz w:val="22"/>
          <w:szCs w:val="22"/>
        </w:rPr>
        <w:t xml:space="preserve">gas turbines, nuclear (existing + SMR restart/new build), renewables + storage, on-site fuel cells.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Transmission &amp; Grid Interconnection: </w:t>
      </w:r>
      <w:r>
        <w:rPr>
          <w:rFonts w:ascii="Calibri" w:cs="Calibri" w:eastAsia="Calibri" w:hAnsi="Calibri"/>
          <w:b w:val="false"/>
          <w:bCs w:val="false"/>
          <w:i w:val="false"/>
          <w:iCs w:val="false"/>
          <w:color w:val="111827"/>
          <w:sz w:val="22"/>
          <w:szCs w:val="22"/>
        </w:rPr>
        <w:t xml:space="preserve">HV/EHV transformers, transmission lines, substations, grid-interconnect engineering.</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In-DC Power Distribution: </w:t>
      </w:r>
      <w:r>
        <w:rPr>
          <w:rFonts w:ascii="Calibri" w:cs="Calibri" w:eastAsia="Calibri" w:hAnsi="Calibri"/>
          <w:b w:val="false"/>
          <w:bCs w:val="false"/>
          <w:i w:val="false"/>
          <w:iCs w:val="false"/>
          <w:color w:val="111827"/>
          <w:sz w:val="22"/>
          <w:szCs w:val="22"/>
        </w:rPr>
        <w:t xml:space="preserve">medium-voltage switchgear, UPS, PDUs, busway, transformers (MV/LV), power management.</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Backup &amp; Resiliency: </w:t>
      </w:r>
      <w:r>
        <w:rPr>
          <w:rFonts w:ascii="Calibri" w:cs="Calibri" w:eastAsia="Calibri" w:hAnsi="Calibri"/>
          <w:b w:val="false"/>
          <w:bCs w:val="false"/>
          <w:i w:val="false"/>
          <w:iCs w:val="false"/>
          <w:color w:val="111827"/>
          <w:sz w:val="22"/>
          <w:szCs w:val="22"/>
        </w:rPr>
        <w:t xml:space="preserve">diesel/gas gensets, BESS, redundancy systems.</w:t>
      </w:r>
    </w:p>
    <w:p>
      <w:pPr>
        <w:pStyle w:val="Heading2"/>
        <w:spacing w:after="140" w:before="280"/>
      </w:pPr>
      <w:r>
        <w:rPr>
          <w:rFonts w:ascii="Calibri" w:cs="Calibri" w:eastAsia="Calibri" w:hAnsi="Calibri"/>
          <w:b/>
          <w:bCs/>
          <w:color w:val="1E40AF"/>
          <w:sz w:val="28"/>
          <w:szCs w:val="28"/>
        </w:rPr>
        <w:t xml:space="preserve">1.2 US — Who Made the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4226"/>
      </w:tblGrid>
      <w:tr>
        <w:trPr>
          <w:tblHeader/>
        </w:trPr>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 (Ticker)</w:t>
            </w:r>
          </w:p>
        </w:tc>
        <w:tc>
          <w:tcPr>
            <w:tcW w:type="dxa" w:w="1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Stock Move (Jan-23 → Q1-26)</w:t>
            </w:r>
          </w:p>
        </w:tc>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Recent DC Deal</w:t>
            </w:r>
          </w:p>
        </w:tc>
        <w:tc>
          <w:tcPr>
            <w:tcW w:type="dxa" w:w="42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Direct Proof — DC was the catalyst</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GE Vernova (GEV)</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r>
              <w:rPr>
                <w:rFonts w:ascii="Calibri" w:cs="Calibri" w:eastAsia="Calibri" w:hAnsi="Calibri"/>
                <w:b w:val="false"/>
                <w:bCs w:val="false"/>
                <w:i w:val="false"/>
                <w:iCs w:val="false"/>
                <w:color w:val="111827"/>
                <w:sz w:val="22"/>
                <w:szCs w:val="22"/>
              </w:rPr>
              <w:t xml:space="preserve"> from Apr-24 spin from GE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$163B company backlog. Q1-26 DC electrification orders $2.4B (exceeded full-year 2025 in one quarter).</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Mgmt has explicitly attributed step-up in orders to gas turbine and HV equipment demand from hyperscalers. Gas turbine slots sold out into 2028+; named DC customers in transcripts include Microsoft and Amazon.</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Vistra (VST)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~8-10x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Acquired Energy Harbor (nuclear) Mar-24, positioning to sell nuclear PPAs to hyperscalers.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Stock rerated almost entirely on "AI power supplier" narrative — multiple expansion from 6x to 15-18x EBITDA. Comparable IPP peers (without DC tilt) have not rerated similarly.</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Constellation Energy (CEG)</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~4-5x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Sep-24: 20-year PPA with Microsoft to restart Three Mile Island Unit 1. Multiple subsequent hyperscaler PPAs.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The Microsoft PPA single-handedly added ~$15-20bn to market cap on announcement. PPA prices reportedly $100-120/MWh vs $30-40/MWh wholesale — pure DC-premium pricing.</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Talen Energy (TLN)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~5-6x</w:t>
            </w:r>
            <w:r>
              <w:rPr>
                <w:rFonts w:ascii="Calibri" w:cs="Calibri" w:eastAsia="Calibri" w:hAnsi="Calibri"/>
                <w:b w:val="false"/>
                <w:bCs w:val="false"/>
                <w:i w:val="false"/>
                <w:iCs w:val="false"/>
                <w:color w:val="111827"/>
                <w:sz w:val="22"/>
                <w:szCs w:val="22"/>
              </w:rPr>
              <w:t xml:space="preserve"> since 2023 relisting</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Mar-24: sold Cumulus DC campus to AWS for $650M; 960MW behind-the-meter nuclear deal.</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Talen is the textbook "BYOP" trade — pure-play nuclear+DC. The AWS deal validated the on-site-power model and triggered the rerating of the entire nuclear-IPP complex.</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Oklo (OKLO)</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~3-5x</w:t>
            </w:r>
            <w:r>
              <w:rPr>
                <w:rFonts w:ascii="Calibri" w:cs="Calibri" w:eastAsia="Calibri" w:hAnsi="Calibri"/>
                <w:b w:val="false"/>
                <w:bCs w:val="false"/>
                <w:i w:val="false"/>
                <w:iCs w:val="false"/>
                <w:color w:val="111827"/>
                <w:sz w:val="22"/>
                <w:szCs w:val="22"/>
              </w:rPr>
              <w:t xml:space="preserve"> post-listing</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Multiple LOIs with hyperscalers for SMR power supply; Sam Altman-backed.</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Pre-revenue but moves entirely on hyperscaler SMR announcements. No commercial reactors yet — this is pure narrative-on-DC.</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Bloom Energy (BE)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r>
              <w:rPr>
                <w:rFonts w:ascii="Calibri" w:cs="Calibri" w:eastAsia="Calibri" w:hAnsi="Calibri"/>
                <w:b w:val="false"/>
                <w:bCs w:val="false"/>
                <w:i w:val="false"/>
                <w:iCs w:val="false"/>
                <w:color w:val="111827"/>
                <w:sz w:val="22"/>
                <w:szCs w:val="22"/>
              </w:rPr>
              <w:t xml:space="preserve"> from 2023 lows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Jul-24: 1GW supply agreement with AEP for DC customers. Oracle and Equinix deployments.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AEP announcement caused +60% single-day move. SOFC fuel cells bypass grid interconnect queues — the BYOP thesis in equipment form.</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Vertiv (VRT)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~8-10x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2026E revenue $13.5-14.0B (vs $5.7B in 2022). Q1-26 revenue +30% YoY. Backlog ~$9.5B.</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Vertiv is ~95% data center revenue — there is no "other business" to attribute the move to. Margins expanded from 14% to 22%+ on operating leverage. Direct liquid cooling revenue more than 2x YoY.</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Eaton (ETN)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Data center end-market disclosed as ~17% of electrical segment, growing 20%+ YoY. Multi-billion backlog from DC customers.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Eaton has quantified DC contribution in investor disclosures: electrical Americas backlog rose 80%+ over 2 years, with DC the dominant driver. Mgmt cited 800V DC architecture as a multi-year tailwind on Q4-25 call.</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Schneider Electric (SU.PA)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~1.8-2x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segment leading growth at ~11% organic. €25.4B backlog. Acquired Motivair (liquid cooling).</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is the only consistently double-digit growth vertical in Schneider's portfolio. Motivair acquisition was explicitly framed as a liquid-cooling capability buy for AI DCs.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Powell Industries (POWL)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~10-12x</w:t>
            </w:r>
            <w:r>
              <w:rPr>
                <w:rFonts w:ascii="Calibri" w:cs="Calibri" w:eastAsia="Calibri" w:hAnsi="Calibri"/>
                <w:b w:val="false"/>
                <w:bCs w:val="false"/>
                <w:i w:val="false"/>
                <w:iCs w:val="false"/>
                <w:color w:val="111827"/>
                <w:sz w:val="22"/>
                <w:szCs w:val="22"/>
              </w:rPr>
              <w:t xml:space="preserve"> — one of the biggest US runs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$1.8B backlog; single DC mega-order reportedly $400M+. Backlog has doubled in 24 months.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Powell was a sleepy oil-&amp;-gas-skewed MV switchgear name pre-2023. DC revenue went from negligible to 30%+ of business. Pure rerating from end-market mix shift.</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ABB Ltd (ABBNY)</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~2-2.5x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Partnered with NVIDIA on 800V DC architecture. Electrification orders +20%+ YoY.</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NVIDIA partnership announced at GTC 2025 explicitly positions ABB at the centre of the 800V transition. Electrification segment guidance lifted on DC traction.</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pattern: where the alpha sat</w:t>
            </w:r>
          </w:p>
          <w:p>
            <w:pPr>
              <w:spacing w:after="20" w:before="20"/>
            </w:pPr>
            <w:r>
              <w:rPr>
                <w:rFonts w:ascii="Calibri" w:cs="Calibri" w:eastAsia="Calibri" w:hAnsi="Calibri"/>
                <w:b w:val="false"/>
                <w:bCs w:val="false"/>
                <w:i w:val="false"/>
                <w:iCs w:val="false"/>
                <w:color w:val="111827"/>
                <w:sz w:val="20"/>
                <w:szCs w:val="20"/>
              </w:rPr>
              <w:t xml:space="preserve">In Layer 1, the biggest dollar-value moves went to the names where (a) DC was the entire business (Vertiv) or (b) the existing business was sleepy and DC was a step-function new vertical (Powell, Talen, Constellation). The large diversifieds (ABB, Schneider, Eaton) compounded steadily at 2-3x but did not give the asymmetric trade. This is the template for India.</w:t>
            </w:r>
          </w:p>
        </w:tc>
      </w:tr>
    </w:tbl>
    <w:p>
      <w:r>
        <w:br w:type="page"/>
      </w:r>
    </w:p>
    <w:p>
      <w:pPr>
        <w:pStyle w:val="Heading2"/>
        <w:spacing w:after="140" w:before="280"/>
      </w:pPr>
      <w:r>
        <w:rPr>
          <w:rFonts w:ascii="Calibri" w:cs="Calibri" w:eastAsia="Calibri" w:hAnsi="Calibri"/>
          <w:b/>
          <w:bCs/>
          <w:color w:val="1E40AF"/>
          <w:sz w:val="28"/>
          <w:szCs w:val="28"/>
        </w:rPr>
        <w:t xml:space="preserve">1.3 India Mirror — Tiered</w:t>
      </w:r>
    </w:p>
    <w:p>
      <w:pPr>
        <w:pStyle w:val="Heading3"/>
        <w:spacing w:after="100" w:before="200"/>
      </w:pPr>
      <w:r>
        <w:rPr>
          <w:rFonts w:ascii="Calibri" w:cs="Calibri" w:eastAsia="Calibri" w:hAnsi="Calibri"/>
          <w:b/>
          <w:bCs/>
          <w:color w:val="1F2937"/>
          <w:sz w:val="24"/>
          <w:szCs w:val="24"/>
        </w:rPr>
        <w:t xml:space="preserve">Tier A — Already Run (3x+ on the DC/power capex narrative)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Approx. move 2023-26</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Read-across &amp; current positioning</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CG Power &amp; Industrial Solutions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Powell Industries / Eaton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~5-6x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Transformer + switchgear + railways. Cleanest large-cap pure capital goods play. Order book at multi-year high; consensus EPS upgrades have run consistently. Multiple is now full at 50-60x forward — much of the rerating is in price.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Hitachi Energy India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 Vernova / ABB / Hitachi Energy</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~6-8x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HVDC, grid automation, HV transformers. Direct beneficiary of parent's NVIDIA 800V DC collaboration. Has been one of the most violent rerates in the entire Indian capital goods space. Trading at premium multiples.</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ABB India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ABB / Eaton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~3-3.5x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Motors, drives, switchgear, robotics. Cleanest play on industrial electrification + DC. Margins at all-time highs. Already on every long-only buy list.</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Siemens India (pre and post demerger)</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Siemens AG / Schneider Electric</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~2-2.5x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Industrial automation, MV equipment, T&amp;D. Energy-business demerger is now a separate listed line and the cleaner DC play of the two.</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Apar Industries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Eaton / Prysmian / Nexans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~6-8x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Conductors, cables, transformer oils. Massive global power capex play — exports to ~140 countries. Has been one of the biggest mid-cap winners. Multiple is now stretched.</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KEC International</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Quanta Services / MYR Group</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HV transmission line EPC. RPG Group. Order book growing 25-30% YoY. Decent further runway but most of the easy money done.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Kalpataru Projects International</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Quanta Services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Transmission EPC + buildings. Strong order book. Similar to KEC profile.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Polycab India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Corning / Belden / Prysmian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Cables &amp; wires market leader. Every DC + every renewable + every grid project needs cables. Now an obvious large-cap holding.</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KEI Industries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Belden / Prysmian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#2 in cables. Higher growth than Polycab off a smaller base. Already a consensus mid-cap.</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Cummins India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Cummins Inc.</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Dominant DG-set player. Every DC needs N+1 backup. Lower beta but predictable. Less room for surprise.</w:t>
            </w:r>
          </w:p>
        </w:tc>
      </w:tr>
    </w:tbl>
    <w:p>
      <w:pPr>
        <w:spacing w:after="80" w:before="80"/>
      </w:pPr>
      <w:r>
        <w:rPr>
          <w:rFonts w:ascii="Calibri" w:cs="Calibri" w:eastAsia="Calibri" w:hAnsi="Calibri"/>
          <w:sz w:val="18"/>
          <w:szCs w:val="18"/>
        </w:rPr>
        <w:t xml:space="preserve"/>
      </w:r>
    </w:p>
    <w:p>
      <w:pPr>
        <w:pStyle w:val="Heading3"/>
        <w:spacing w:after="100" w:before="200"/>
      </w:pPr>
      <w:r>
        <w:rPr>
          <w:rFonts w:ascii="Calibri" w:cs="Calibri" w:eastAsia="Calibri" w:hAnsi="Calibri"/>
          <w:b/>
          <w:bCs/>
          <w:color w:val="1F2937"/>
          <w:sz w:val="24"/>
          <w:szCs w:val="24"/>
        </w:rPr>
        <w:t xml:space="preserve">Tier B — Picking Up (rerating underway but not stretched)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Approx. 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Why the rerating is just underway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Voltamp Transformers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Powell Industries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~2-2.5x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MV/HV transformer specialist with low debt and high return on capital. Lower-profile than CG/ABB. Order book and margins building; equity story still under-told.</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TD Power Systems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WEG / Hitachi (motors)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~2-3x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AC generators 5-200 MW for gas, hydro, steam. Exports-heavy. Direct beneficiary of global gas-turbine genset demand from DC operators. Still mid-cap with modest coverage.</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Schneider Electric Infrastructure (India)</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Schneider Electric SE</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Listed Indian sub of Schneider. Smart grid &amp; MV products. Despite the parent's global DC story, the Indian listed entity has been a slower mover — partly because of low-growth past, partly because the high-growth EcoStruxure / DC piece sits in the unlisted Schneider Electric India.</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GE T&amp;D India / GE Power India</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 Vernova</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~3-4x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HV switchgear &amp; T&amp;D systems. Parent's spin into GE Vernova has clarified the DC story. Recent rerating underway; remains less covered than CG/Hitachi.</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Triveni Turbine</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Solar Turbines / Mitsubishi (small turbines)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Steam turbines up to 100MW. Co-gen &amp; captive power play — relevant for DC on-site power. Underappreciated DC angle; mostly seen as an industrial/sugar/biomass play.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Power Mech Projects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Quanta / MYR Group</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~3-4x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Erection &amp; commissioning + BOP for power plants. Niche, less-covered than Kalpataru/KEC.</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Bharat Bijlee</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Eaton / WEG</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~2-3x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Power transformers and motors. Small-mid cap. Order book improving; family-managed business with modest visibility on the institutional desk.</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Adani Green / JSW Energy</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NextEra / Constellation</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Mixed — varies</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Renewable + storage IPP plays. Will benefit from DC PPA demand as it scales; PPAs for AdaniConneX-style captive DC consumption are the operational link. Stock-specific factors dominate (e.g. Adani group news flow).</w:t>
            </w:r>
          </w:p>
        </w:tc>
      </w:tr>
    </w:tbl>
    <w:p>
      <w:pPr>
        <w:spacing w:after="80" w:before="80"/>
      </w:pPr>
      <w:r>
        <w:rPr>
          <w:rFonts w:ascii="Calibri" w:cs="Calibri" w:eastAsia="Calibri" w:hAnsi="Calibri"/>
          <w:sz w:val="18"/>
          <w:szCs w:val="18"/>
        </w:rPr>
        <w:t xml:space="preserve"/>
      </w:r>
    </w:p>
    <w:p>
      <w:pPr>
        <w:pStyle w:val="Heading3"/>
        <w:spacing w:after="100" w:before="200"/>
      </w:pPr>
      <w:r>
        <w:rPr>
          <w:rFonts w:ascii="Calibri" w:cs="Calibri" w:eastAsia="Calibri" w:hAnsi="Calibri"/>
          <w:b/>
          <w:bCs/>
          <w:color w:val="1F2937"/>
          <w:sz w:val="24"/>
          <w:szCs w:val="24"/>
        </w:rPr>
        <w:t xml:space="preserve">Tier C — Yet to Be Discovered (real exposure, low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Approx. move so far</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Why it could be the next leg up</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Indo Tech Transformers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Small-cap transformer specialist</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Modest</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Niche transformer maker focused on power &amp; distribution segments. Tiny-cap, low institutional ownership, but in the right end-market with structural shortage. Classic small-cap optionality on the transformer cycle.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Salzer Electronics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Legrand / nVent</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Modest</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Industrial switchgear, copper wires and PDU-type products. Schneider Electric is a JV partner. Direct fit for DC physical infrastructure; almost no sell-side coverage.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HBL Engineering &amp; Industries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Generac / EnerSys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r>
              <w:rPr>
                <w:rFonts w:ascii="Calibri" w:cs="Calibri" w:eastAsia="Calibri" w:hAnsi="Calibri"/>
                <w:b w:val="false"/>
                <w:bCs w:val="false"/>
                <w:i w:val="false"/>
                <w:iCs w:val="false"/>
                <w:color w:val="111827"/>
                <w:sz w:val="22"/>
                <w:szCs w:val="22"/>
              </w:rPr>
              <w:t xml:space="preserve"> already, but on railways</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Specialty batteries (DC, UPS, telecom). Most of the move so far has been on the KAVACH/railways story. The DC battery angle is a structural overlay that the market is not yet pricing in.</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Genus Power Infrastructures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Itron (smart metering)</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Smart meters — peripheral to DC directly but feeds the same grid-modernisation capex. PE-backed acquisition narrative also active.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Servotech Power Systems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Generac / EnerSys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Volatile small-cap</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EV charger + solar inverter + power electronics. Speculative micro-cap but in adjacent power electronics segment. High beta; do diligence.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Skipper Limited</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Quanta Services (towers)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~3-4x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Transmission towers + monopoles. Some rerating happened but coverage is still thin vs the size of the global T&amp;D capex cycle.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Transformers and Rectifiers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Hitachi Energy (small-cap)</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Already moved sharply</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Pure-play transformer manufacturer. Has rerated meaningfully but is in the "small-cap that's just been discovered" zone — order book and capacity expansion remain the key watch.</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transformers cluster — three things to watch</w:t>
            </w:r>
          </w:p>
          <w:p>
            <w:pPr>
              <w:spacing w:after="20" w:before="20"/>
            </w:pPr>
            <w:r>
              <w:rPr>
                <w:rFonts w:ascii="Calibri" w:cs="Calibri" w:eastAsia="Calibri" w:hAnsi="Calibri"/>
                <w:b w:val="false"/>
                <w:bCs w:val="false"/>
                <w:i w:val="false"/>
                <w:iCs w:val="false"/>
                <w:color w:val="111827"/>
                <w:sz w:val="20"/>
                <w:szCs w:val="20"/>
              </w:rPr>
              <w:t xml:space="preserve">Global transformer lead times sit at 160+ weeks. In India, every transformer manufacturer with credible capacity (CG, Hitachi Energy, Voltamp, Indo Tech, Transformers &amp; Rectifiers, GE T&amp;D, Bharat Bijlee) is operating at full plate. The discrimination going forward will be on: (1) capacity expansion execution — who actually adds MVA, (2) export mix — names with US/Europe exposure get a second engine, (3) HV/EHV product mix — higher value-add, harder to compete on.</w:t>
            </w:r>
          </w:p>
        </w:tc>
      </w:tr>
    </w:tbl>
    <w:p>
      <w:r>
        <w:br w:type="page"/>
      </w:r>
    </w:p>
    <w:p>
      <w:pPr>
        <w:pStyle w:val="Heading1"/>
        <w:spacing w:after="180" w:before="360"/>
      </w:pPr>
      <w:r>
        <w:rPr>
          <w:rFonts w:ascii="Calibri" w:cs="Calibri" w:eastAsia="Calibri" w:hAnsi="Calibri"/>
          <w:b/>
          <w:bCs/>
          <w:color w:val="0F172A"/>
          <w:sz w:val="36"/>
          <w:szCs w:val="36"/>
        </w:rPr>
        <w:t xml:space="preserve">Layer 2 — Chips</w:t>
      </w:r>
    </w:p>
    <w:p>
      <w:pPr>
        <w:spacing w:after="60" w:before="60"/>
        <w:jc w:val="left"/>
      </w:pPr>
      <w:r>
        <w:rPr>
          <w:rFonts w:ascii="Calibri" w:cs="Calibri" w:eastAsia="Calibri" w:hAnsi="Calibri"/>
          <w:b w:val="false"/>
          <w:bCs w:val="false"/>
          <w:i/>
          <w:iCs/>
          <w:color w:val="111827"/>
          <w:sz w:val="22"/>
          <w:szCs w:val="22"/>
        </w:rPr>
        <w:t xml:space="preserve">The dollar sink of the AI buildout. ~$500B+ TAM for data center semiconductors by 2029. This is where US listed equity gave the single biggest absolute return — and where India has the least direct exposure.</w:t>
      </w:r>
    </w:p>
    <w:p>
      <w:pPr>
        <w:pStyle w:val="Heading2"/>
        <w:spacing w:after="140" w:before="280"/>
      </w:pPr>
      <w:r>
        <w:rPr>
          <w:rFonts w:ascii="Calibri" w:cs="Calibri" w:eastAsia="Calibri" w:hAnsi="Calibri"/>
          <w:b/>
          <w:bCs/>
          <w:color w:val="1E40AF"/>
          <w:sz w:val="28"/>
          <w:szCs w:val="28"/>
        </w:rPr>
        <w:t xml:space="preserve">2.1 Sub-segments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GPUs: </w:t>
      </w:r>
      <w:r>
        <w:rPr>
          <w:rFonts w:ascii="Calibri" w:cs="Calibri" w:eastAsia="Calibri" w:hAnsi="Calibri"/>
          <w:b w:val="false"/>
          <w:bCs w:val="false"/>
          <w:i w:val="false"/>
          <w:iCs w:val="false"/>
          <w:color w:val="111827"/>
          <w:sz w:val="22"/>
          <w:szCs w:val="22"/>
        </w:rPr>
        <w:t xml:space="preserve">NVIDIA (Blackwell/Rubin), AMD (MI300/MI400).</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Custom ASICs / XPUs: </w:t>
      </w:r>
      <w:r>
        <w:rPr>
          <w:rFonts w:ascii="Calibri" w:cs="Calibri" w:eastAsia="Calibri" w:hAnsi="Calibri"/>
          <w:b w:val="false"/>
          <w:bCs w:val="false"/>
          <w:i w:val="false"/>
          <w:iCs w:val="false"/>
          <w:color w:val="111827"/>
          <w:sz w:val="22"/>
          <w:szCs w:val="22"/>
        </w:rPr>
        <w:t xml:space="preserve">Broadcom (Google TPU, Meta MTIA partner), Marvell (Amazon Trainium partner), Alchip, MediaTek.</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CPUs: </w:t>
      </w:r>
      <w:r>
        <w:rPr>
          <w:rFonts w:ascii="Calibri" w:cs="Calibri" w:eastAsia="Calibri" w:hAnsi="Calibri"/>
          <w:b w:val="false"/>
          <w:bCs w:val="false"/>
          <w:i w:val="false"/>
          <w:iCs w:val="false"/>
          <w:color w:val="111827"/>
          <w:sz w:val="22"/>
          <w:szCs w:val="22"/>
        </w:rPr>
        <w:t xml:space="preserve">AMD (EPYC), Intel (Xeon), ARM-based (Ampere, NVIDIA Grace).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HBM / Memory: </w:t>
      </w:r>
      <w:r>
        <w:rPr>
          <w:rFonts w:ascii="Calibri" w:cs="Calibri" w:eastAsia="Calibri" w:hAnsi="Calibri"/>
          <w:b w:val="false"/>
          <w:bCs w:val="false"/>
          <w:i w:val="false"/>
          <w:iCs w:val="false"/>
          <w:color w:val="111827"/>
          <w:sz w:val="22"/>
          <w:szCs w:val="22"/>
        </w:rPr>
        <w:t xml:space="preserve">SK Hynix, Samsung, Micron. HBM3E and HBM4 cycle.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Networking silicon: </w:t>
      </w:r>
      <w:r>
        <w:rPr>
          <w:rFonts w:ascii="Calibri" w:cs="Calibri" w:eastAsia="Calibri" w:hAnsi="Calibri"/>
          <w:b w:val="false"/>
          <w:bCs w:val="false"/>
          <w:i w:val="false"/>
          <w:iCs w:val="false"/>
          <w:color w:val="111827"/>
          <w:sz w:val="22"/>
          <w:szCs w:val="22"/>
        </w:rPr>
        <w:t xml:space="preserve">Broadcom (Tomahawk/Jericho), Marvell, Cisco Silicon One. Arista as the system play.</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Optical / Photonics: </w:t>
      </w:r>
      <w:r>
        <w:rPr>
          <w:rFonts w:ascii="Calibri" w:cs="Calibri" w:eastAsia="Calibri" w:hAnsi="Calibri"/>
          <w:b w:val="false"/>
          <w:bCs w:val="false"/>
          <w:i w:val="false"/>
          <w:iCs w:val="false"/>
          <w:color w:val="111827"/>
          <w:sz w:val="22"/>
          <w:szCs w:val="22"/>
        </w:rPr>
        <w:t xml:space="preserve">Coherent, Lumentum, Marvell (Inphi), Ciena. Co-packaged optics emerging.</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Power semis: </w:t>
      </w:r>
      <w:r>
        <w:rPr>
          <w:rFonts w:ascii="Calibri" w:cs="Calibri" w:eastAsia="Calibri" w:hAnsi="Calibri"/>
          <w:b w:val="false"/>
          <w:bCs w:val="false"/>
          <w:i w:val="false"/>
          <w:iCs w:val="false"/>
          <w:color w:val="111827"/>
          <w:sz w:val="22"/>
          <w:szCs w:val="22"/>
        </w:rPr>
        <w:t xml:space="preserve">Infineon, STMicro, Navitas, Monolithic Power, Vicor — relevant for 800V DC transition.</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Foundry &amp; semi-cap: </w:t>
      </w:r>
      <w:r>
        <w:rPr>
          <w:rFonts w:ascii="Calibri" w:cs="Calibri" w:eastAsia="Calibri" w:hAnsi="Calibri"/>
          <w:b w:val="false"/>
          <w:bCs w:val="false"/>
          <w:i w:val="false"/>
          <w:iCs w:val="false"/>
          <w:color w:val="111827"/>
          <w:sz w:val="22"/>
          <w:szCs w:val="22"/>
        </w:rPr>
        <w:t xml:space="preserve">TSMC, ASML, AMAT, LRCX, KLAC, ASMI.</w:t>
      </w:r>
    </w:p>
    <w:p>
      <w:pPr>
        <w:pStyle w:val="Heading2"/>
        <w:spacing w:after="140" w:before="280"/>
      </w:pPr>
      <w:r>
        <w:rPr>
          <w:rFonts w:ascii="Calibri" w:cs="Calibri" w:eastAsia="Calibri" w:hAnsi="Calibri"/>
          <w:b/>
          <w:bCs/>
          <w:color w:val="1E40AF"/>
          <w:sz w:val="28"/>
          <w:szCs w:val="28"/>
        </w:rPr>
        <w:t xml:space="preserve">2.2 US — Who Made the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4226"/>
      </w:tblGrid>
      <w:tr>
        <w:trPr>
          <w:tblHeader/>
        </w:trPr>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 (Ticker)</w:t>
            </w:r>
          </w:p>
        </w:tc>
        <w:tc>
          <w:tcPr>
            <w:tcW w:type="dxa" w:w="1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Stock Move 2023→26</w:t>
            </w:r>
          </w:p>
        </w:tc>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Recent DC Deal / Datapoint</w:t>
            </w:r>
          </w:p>
        </w:tc>
        <w:tc>
          <w:tcPr>
            <w:tcW w:type="dxa" w:w="42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Direct Proof — DC was the catalyst</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NVIDIA (NVDA)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~8-10x</w:t>
            </w:r>
            <w:r>
              <w:rPr>
                <w:rFonts w:ascii="Calibri" w:cs="Calibri" w:eastAsia="Calibri" w:hAnsi="Calibri"/>
                <w:b w:val="false"/>
                <w:bCs w:val="false"/>
                <w:i w:val="false"/>
                <w:iCs w:val="false"/>
                <w:color w:val="111827"/>
                <w:sz w:val="22"/>
                <w:szCs w:val="22"/>
              </w:rPr>
              <w:t xml:space="preserve"> from Jan-23</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revenue: $4.3B (Q1 FY24) → $26B+ (Q1 FY26). FY25 DC revenue $115.2B (+142% YoY).</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is ~88% of NVIDIA revenue. Gaming/auto/pro-viz are &lt;12%. The move is the trade. No attribution puzzle.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Broadcom (AVGO)</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~6-7x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Q3 FY25 AI revenue $5.2B (+63% YoY). Custom XPU customers: Google (TPU), Meta (MTIA), and a third hyperscaler (widely reported as OpenAI/Apple).</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Pre-2023 Broadcom was a wireless+networking+VMware story. Post-2023 the entire stock narrative shifted to AI ASICs + networking. Custom silicon TAM estimated $60-90B by 2027.</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AMD (AMD)</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MI300X / MI325X traction with Microsoft, Meta, Oracle. DC segment revenue $4B+/qtr.</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AMD's DC segment overtook client (PC) in 2024. The MI-series is the only credible NVIDIA alternative — every $1B of MI300X revenue is incremental DC dollars.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Marvell (MRVL)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~1.5-2x</w:t>
            </w:r>
            <w:r>
              <w:rPr>
                <w:rFonts w:ascii="Calibri" w:cs="Calibri" w:eastAsia="Calibri" w:hAnsi="Calibri"/>
                <w:b w:val="false"/>
                <w:bCs w:val="false"/>
                <w:i w:val="false"/>
                <w:iCs w:val="false"/>
                <w:color w:val="111827"/>
                <w:sz w:val="22"/>
                <w:szCs w:val="22"/>
              </w:rPr>
              <w:t xml:space="preserve"> (volatile)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Custom ASICs (Amazon Trainium 2, Microsoft Maia 2 partner). Optical interconnect business.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Custom silicon TAM estimate ~$55B. Stock volatility reflects design-win cycle timing rather than thesis change — DC is the entire growth engine.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Micron (MU)</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634"/>
                <w:sz w:val="22"/>
                <w:szCs w:val="22"/>
              </w:rPr>
              <w:t xml:space="preserve">~2-2.5x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HBM3E sold out through 2025; HBM4 ramp underway. Sanand, Gujarat facility under construction (DRAM packaging).</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HBM is the AI-attached part of memory and the highest-margin DRAM segment. Cycle is fundamentally different from commodity DRAM.</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TSMC (TSM)</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3nm/2nm capacity oversubscribed by hyperscalers. CoWoS (advanced packaging) capacity for HBM 3-4x expansion underway.</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TSMC fabs ~90% of all leading-edge AI silicon. CoWoS capacity is the bottleneck for the entire industry. Every NVIDIA, AMD, Broadcom design win flows through TSMC.</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Arista Networks (ANET)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back-end Ethernet (Spectrum-X competitor); Meta, Microsoft cluster networking.</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cluster networking is a new $20-30B TAM. Arista's 800G/1.6T switches are the de facto Ethernet alternative to NVIDIA InfiniBand.</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Coherent / Lumentum</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Coherent ~2.5-3x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800G/1.6T transceivers, lasers. AI cluster interconnect optical components.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Optical transceiver demand from AI clusters is growing 40-60% YoY — far higher than traditional telecom optical.</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Monolithic Power / Navitas / Vicor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Mixed (MPWR ~2x)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800V DC architecture, GPU voltage regulator modules (VRMs).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These are the at-the-chip power players. The 800V architecture push (NVIDIA GTC 2025) is the multi-year catalyst. Early-cycle; not all in price yet.</w:t>
            </w:r>
          </w:p>
        </w:tc>
      </w:tr>
    </w:tbl>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2.3 India Mirror — Tiered (Acknowledged thin)</w:t>
      </w:r>
    </w:p>
    <w:p>
      <w:pPr>
        <w:spacing w:after="60" w:before="60"/>
        <w:jc w:val="left"/>
      </w:pPr>
      <w:r>
        <w:rPr>
          <w:rFonts w:ascii="Calibri" w:cs="Calibri" w:eastAsia="Calibri" w:hAnsi="Calibri"/>
          <w:b w:val="false"/>
          <w:bCs w:val="false"/>
          <w:i w:val="false"/>
          <w:iCs w:val="false"/>
          <w:color w:val="111827"/>
          <w:sz w:val="22"/>
          <w:szCs w:val="22"/>
        </w:rPr>
        <w:t xml:space="preserve">India has no domestic GPU/CPU industry of consequence. The semiconductor mission (incentivised packaging/fab) is in early commercial stage. The listed exposure today is via three angles: (a) electronic manufacturing services / DLM that supply server-OEM ecosystems, (b) AI server assemblers, (c) packaging/test/EMS proxy plays.</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5126"/>
      </w:tblGrid>
      <w:tr>
        <w:trPr>
          <w:tblHeader/>
        </w:trPr>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Tier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 2023-26</w:t>
            </w:r>
          </w:p>
        </w:tc>
        <w:tc>
          <w:tcPr>
            <w:tcW w:type="dxa" w:w="51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DC angle</w:t>
            </w:r>
          </w:p>
        </w:tc>
      </w:tr>
      <w:tr>
        <w:tc>
          <w:tcPr>
            <w:tcW w:type="dxa" w:w="17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Netweb Technologies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~4-5x</w:t>
            </w:r>
            <w:r>
              <w:rPr>
                <w:rFonts w:ascii="Calibri" w:cs="Calibri" w:eastAsia="Calibri" w:hAnsi="Calibri"/>
                <w:b w:val="false"/>
                <w:bCs w:val="false"/>
                <w:i w:val="false"/>
                <w:iCs w:val="false"/>
                <w:color w:val="111827"/>
                <w:sz w:val="22"/>
                <w:szCs w:val="22"/>
              </w:rPr>
              <w:t xml:space="preserve"> from IPO</w:t>
            </w:r>
          </w:p>
        </w:tc>
        <w:tc>
          <w:tcPr>
            <w:tcW w:type="dxa" w:w="51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server / HPC system assembler. Partners with NVIDIA, AMD, Intel. ~5,000+ AI GPU systems installed. Closest Indian proxy to the Super Micro story but much smaller and more volatile.</w:t>
            </w:r>
          </w:p>
        </w:tc>
      </w:tr>
      <w:tr>
        <w:tc>
          <w:tcPr>
            <w:tcW w:type="dxa" w:w="17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Kaynes Technology India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r>
              <w:rPr>
                <w:rFonts w:ascii="Calibri" w:cs="Calibri" w:eastAsia="Calibri" w:hAnsi="Calibri"/>
                <w:b w:val="false"/>
                <w:bCs w:val="false"/>
                <w:i w:val="false"/>
                <w:iCs w:val="false"/>
                <w:color w:val="111827"/>
                <w:sz w:val="22"/>
                <w:szCs w:val="22"/>
              </w:rPr>
              <w:t xml:space="preserve"> from IPO</w:t>
            </w:r>
          </w:p>
        </w:tc>
        <w:tc>
          <w:tcPr>
            <w:tcW w:type="dxa" w:w="51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Diversified EMS with OSAT/packaging ambitions. Has signed semiconductor packaging plans — qualifies for SPECS incentives. Already a consensus EMS play.</w:t>
            </w:r>
          </w:p>
        </w:tc>
      </w:tr>
      <w:tr>
        <w:tc>
          <w:tcPr>
            <w:tcW w:type="dxa" w:w="17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Syrma SGS Technology</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~2x</w:t>
            </w:r>
          </w:p>
        </w:tc>
        <w:tc>
          <w:tcPr>
            <w:tcW w:type="dxa" w:w="51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EMS — automotive + industrial. Lower-profile than Kaynes/Dixon but in a similar segment. The DC angle is the indirect electronics manufacturing pipeline.</w:t>
            </w:r>
          </w:p>
        </w:tc>
      </w:tr>
      <w:tr>
        <w:tc>
          <w:tcPr>
            <w:tcW w:type="dxa" w:w="17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Cyient DLM</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~2-2.5x</w:t>
            </w:r>
            <w:r>
              <w:rPr>
                <w:rFonts w:ascii="Calibri" w:cs="Calibri" w:eastAsia="Calibri" w:hAnsi="Calibri"/>
                <w:b w:val="false"/>
                <w:bCs w:val="false"/>
                <w:i w:val="false"/>
                <w:iCs w:val="false"/>
                <w:color w:val="111827"/>
                <w:sz w:val="22"/>
                <w:szCs w:val="22"/>
              </w:rPr>
              <w:t xml:space="preserve"> since IPO</w:t>
            </w:r>
          </w:p>
        </w:tc>
        <w:tc>
          <w:tcPr>
            <w:tcW w:type="dxa" w:w="51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EMS spin-off of Cyient. Aerospace and industrial heavy, but the platform can serve server/DC OEMs over time.</w:t>
            </w:r>
          </w:p>
        </w:tc>
      </w:tr>
      <w:tr>
        <w:tc>
          <w:tcPr>
            <w:tcW w:type="dxa" w:w="17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Avalon Technologies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Mixed</w:t>
            </w:r>
          </w:p>
        </w:tc>
        <w:tc>
          <w:tcPr>
            <w:tcW w:type="dxa" w:w="51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Box-build EMS with US operations. Could serve US server OEM supply chains. Niche, lower coverage.</w:t>
            </w:r>
          </w:p>
        </w:tc>
      </w:tr>
      <w:tr>
        <w:tc>
          <w:tcPr>
            <w:tcW w:type="dxa" w:w="17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MosChip Technologies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Volatile</w:t>
            </w:r>
          </w:p>
        </w:tc>
        <w:tc>
          <w:tcPr>
            <w:tcW w:type="dxa" w:w="51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Semiconductor IP, ASIC design services, embedded engineering. The closest listed Indian play to Broadcom-style ASIC services, but at a microscopic scale. Speculative.</w:t>
            </w:r>
          </w:p>
        </w:tc>
      </w:tr>
      <w:tr>
        <w:tc>
          <w:tcPr>
            <w:tcW w:type="dxa" w:w="17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ASM Technologies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Mixed small-cap</w:t>
            </w:r>
          </w:p>
        </w:tc>
        <w:tc>
          <w:tcPr>
            <w:tcW w:type="dxa" w:w="51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Engineering services + product engineering. Subsidiary Abacus Semiconductor positions for semi-cap supply. Tiny and speculative.</w:t>
            </w:r>
          </w:p>
        </w:tc>
      </w:tr>
      <w:tr>
        <w:tc>
          <w:tcPr>
            <w:tcW w:type="dxa" w:w="17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HEG / Graphite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Mostly cyclical</w:t>
            </w:r>
          </w:p>
        </w:tc>
        <w:tc>
          <w:tcPr>
            <w:tcW w:type="dxa" w:w="51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Graphite electrodes — not directly DC, but graphite is a critical input for advanced packaging substrates and certain semiconductor processes. Indirect, optionality only.</w:t>
            </w:r>
          </w:p>
        </w:tc>
      </w:tr>
      <w:tr>
        <w:tc>
          <w:tcPr>
            <w:tcW w:type="dxa" w:w="17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Tata Elxsi</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 (debated)</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Already corrected</w:t>
            </w:r>
            <w:r>
              <w:rPr>
                <w:rFonts w:ascii="Calibri" w:cs="Calibri" w:eastAsia="Calibri" w:hAnsi="Calibri"/>
                <w:b w:val="false"/>
                <w:bCs w:val="false"/>
                <w:i w:val="false"/>
                <w:iCs w:val="false"/>
                <w:color w:val="111827"/>
                <w:sz w:val="22"/>
                <w:szCs w:val="22"/>
              </w:rPr>
              <w:t xml:space="preserve"> after 2021-22 run</w:t>
            </w:r>
          </w:p>
        </w:tc>
        <w:tc>
          <w:tcPr>
            <w:tcW w:type="dxa" w:w="51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ER&amp;D services. Some semiconductor design work. Better positioned as a Models-layer play than chips. Multiple has come off significantly — could re-enter the picture if GenAI engineering services accelerate.</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honest framing on Indian chips</w:t>
            </w:r>
          </w:p>
          <w:p>
            <w:pPr>
              <w:spacing w:after="20" w:before="20"/>
            </w:pPr>
            <w:r>
              <w:rPr>
                <w:rFonts w:ascii="Calibri" w:cs="Calibri" w:eastAsia="Calibri" w:hAnsi="Calibri"/>
                <w:b w:val="false"/>
                <w:bCs w:val="false"/>
                <w:i w:val="false"/>
                <w:iCs w:val="false"/>
                <w:color w:val="111827"/>
                <w:sz w:val="20"/>
                <w:szCs w:val="20"/>
              </w:rPr>
              <w:t xml:space="preserve">Layer 2 in India is more of a thematic tail than a primary trade. The realistic 2026-30 window for a true Indian semiconductor success story (Tata Electronics, Micron Sanand, Vedanta-Foxconn-style) ending up listed and investable is at least 2-3 years out. For client pitches, frame this layer as "optionality" rather than "core thesis" — and lean heavily on the EMS/DLM and AI-server-assembly subset.</w:t>
            </w:r>
          </w:p>
        </w:tc>
      </w:tr>
    </w:tbl>
    <w:p>
      <w:r>
        <w:br w:type="page"/>
      </w:r>
    </w:p>
    <w:p>
      <w:pPr>
        <w:pStyle w:val="Heading1"/>
        <w:spacing w:after="180" w:before="360"/>
      </w:pPr>
      <w:r>
        <w:rPr>
          <w:rFonts w:ascii="Calibri" w:cs="Calibri" w:eastAsia="Calibri" w:hAnsi="Calibri"/>
          <w:b/>
          <w:bCs/>
          <w:color w:val="0F172A"/>
          <w:sz w:val="36"/>
          <w:szCs w:val="36"/>
        </w:rPr>
        <w:t xml:space="preserve">Layer 3 — Infrastructure</w:t>
      </w:r>
    </w:p>
    <w:p>
      <w:pPr>
        <w:spacing w:after="60" w:before="60"/>
        <w:jc w:val="left"/>
      </w:pPr>
      <w:r>
        <w:rPr>
          <w:rFonts w:ascii="Calibri" w:cs="Calibri" w:eastAsia="Calibri" w:hAnsi="Calibri"/>
          <w:b w:val="false"/>
          <w:bCs w:val="false"/>
          <w:i/>
          <w:iCs/>
          <w:color w:val="111827"/>
          <w:sz w:val="22"/>
          <w:szCs w:val="22"/>
        </w:rPr>
        <w:t xml:space="preserve">The physical data center: cooling, cables, EPC, real estate, colocation operators, servers, fiber. This is the layer where India has the deepest investable surface after Energy.</w:t>
      </w:r>
    </w:p>
    <w:p>
      <w:pPr>
        <w:pStyle w:val="Heading2"/>
        <w:spacing w:after="140" w:before="280"/>
      </w:pPr>
      <w:r>
        <w:rPr>
          <w:rFonts w:ascii="Calibri" w:cs="Calibri" w:eastAsia="Calibri" w:hAnsi="Calibri"/>
          <w:b/>
          <w:bCs/>
          <w:color w:val="1E40AF"/>
          <w:sz w:val="28"/>
          <w:szCs w:val="28"/>
        </w:rPr>
        <w:t xml:space="preserve">3.1 Sub-segments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Cooling: </w:t>
      </w:r>
      <w:r>
        <w:rPr>
          <w:rFonts w:ascii="Calibri" w:cs="Calibri" w:eastAsia="Calibri" w:hAnsi="Calibri"/>
          <w:b w:val="false"/>
          <w:bCs w:val="false"/>
          <w:i w:val="false"/>
          <w:iCs w:val="false"/>
          <w:color w:val="111827"/>
          <w:sz w:val="22"/>
          <w:szCs w:val="22"/>
        </w:rPr>
        <w:t xml:space="preserve">air (CRAH/CRAC, chillers), liquid (direct-to-chip, rear-door heat exchanger), immersion (single-phase, two-phase). Water treatment is the silent input.</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Cables &amp; connectivity: </w:t>
      </w:r>
      <w:r>
        <w:rPr>
          <w:rFonts w:ascii="Calibri" w:cs="Calibri" w:eastAsia="Calibri" w:hAnsi="Calibri"/>
          <w:b w:val="false"/>
          <w:bCs w:val="false"/>
          <w:i w:val="false"/>
          <w:iCs w:val="false"/>
          <w:color w:val="111827"/>
          <w:sz w:val="22"/>
          <w:szCs w:val="22"/>
        </w:rPr>
        <w:t xml:space="preserve">power cabling (HV/MV/LV), structured cabling, fiber optic, subsea cables.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EPC &amp; construction: </w:t>
      </w:r>
      <w:r>
        <w:rPr>
          <w:rFonts w:ascii="Calibri" w:cs="Calibri" w:eastAsia="Calibri" w:hAnsi="Calibri"/>
          <w:b w:val="false"/>
          <w:bCs w:val="false"/>
          <w:i w:val="false"/>
          <w:iCs w:val="false"/>
          <w:color w:val="111827"/>
          <w:sz w:val="22"/>
          <w:szCs w:val="22"/>
        </w:rPr>
        <w:t xml:space="preserve">hyperscale DC building shells, MEP, civil work.</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Real estate / land: </w:t>
      </w:r>
      <w:r>
        <w:rPr>
          <w:rFonts w:ascii="Calibri" w:cs="Calibri" w:eastAsia="Calibri" w:hAnsi="Calibri"/>
          <w:b w:val="false"/>
          <w:bCs w:val="false"/>
          <w:i w:val="false"/>
          <w:iCs w:val="false"/>
          <w:color w:val="111827"/>
          <w:sz w:val="22"/>
          <w:szCs w:val="22"/>
        </w:rPr>
        <w:t xml:space="preserve">land banks near substations and fiber routes; DC REITs.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Colocation operators: </w:t>
      </w:r>
      <w:r>
        <w:rPr>
          <w:rFonts w:ascii="Calibri" w:cs="Calibri" w:eastAsia="Calibri" w:hAnsi="Calibri"/>
          <w:b w:val="false"/>
          <w:bCs w:val="false"/>
          <w:i w:val="false"/>
          <w:iCs w:val="false"/>
          <w:color w:val="111827"/>
          <w:sz w:val="22"/>
          <w:szCs w:val="22"/>
        </w:rPr>
        <w:t xml:space="preserve">retail colo, wholesale colo, hyperscale BTS.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Servers / racks / systems: </w:t>
      </w:r>
      <w:r>
        <w:rPr>
          <w:rFonts w:ascii="Calibri" w:cs="Calibri" w:eastAsia="Calibri" w:hAnsi="Calibri"/>
          <w:b w:val="false"/>
          <w:bCs w:val="false"/>
          <w:i w:val="false"/>
          <w:iCs w:val="false"/>
          <w:color w:val="111827"/>
          <w:sz w:val="22"/>
          <w:szCs w:val="22"/>
        </w:rPr>
        <w:t xml:space="preserve">Super Micro, Dell, HPE, Lenovo, ODM (Quanta, Wistron, Foxconn).</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Fiber &amp; subsea: </w:t>
      </w:r>
      <w:r>
        <w:rPr>
          <w:rFonts w:ascii="Calibri" w:cs="Calibri" w:eastAsia="Calibri" w:hAnsi="Calibri"/>
          <w:b w:val="false"/>
          <w:bCs w:val="false"/>
          <w:i w:val="false"/>
          <w:iCs w:val="false"/>
          <w:color w:val="111827"/>
          <w:sz w:val="22"/>
          <w:szCs w:val="22"/>
        </w:rPr>
        <w:t xml:space="preserve">dark fiber providers, subsea cable consortia, interconnection.</w:t>
      </w:r>
    </w:p>
    <w:p>
      <w:pPr>
        <w:pStyle w:val="Heading2"/>
        <w:spacing w:after="140" w:before="280"/>
      </w:pPr>
      <w:r>
        <w:rPr>
          <w:rFonts w:ascii="Calibri" w:cs="Calibri" w:eastAsia="Calibri" w:hAnsi="Calibri"/>
          <w:b/>
          <w:bCs/>
          <w:color w:val="1E40AF"/>
          <w:sz w:val="28"/>
          <w:szCs w:val="28"/>
        </w:rPr>
        <w:t xml:space="preserve">3.2 US — Who Made the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4226"/>
      </w:tblGrid>
      <w:tr>
        <w:trPr>
          <w:tblHeader/>
        </w:trPr>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 (Ticker)</w:t>
            </w:r>
          </w:p>
        </w:tc>
        <w:tc>
          <w:tcPr>
            <w:tcW w:type="dxa" w:w="1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Stock Move 2023→26</w:t>
            </w:r>
          </w:p>
        </w:tc>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Recent DC Deal</w:t>
            </w:r>
          </w:p>
        </w:tc>
        <w:tc>
          <w:tcPr>
            <w:tcW w:type="dxa" w:w="42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Direct Proof</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Super Micro (SMCI)</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Volatile ~10x then ~50% drawdown</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Largest AI server vendor to xAI, Tesla, plus multiple hyperscalers; ~$20B+ revenue run-rate.</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Pure AI-server-assembly play. The DC narrative was the entire story. Stock collapse in late 2024 was accounting/audit-driven, not demand-driven. Cautionary tale on governance.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Dell Technologies (DELL)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server backlog disclosed at $8B+, with $5B+ shipped per quarter (peak).</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server is the entire growth engine; client PC business has been flat. Dell discloses AI-server segment separately on earnings.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Vertiv (VRT)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~8-10x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Liquid cooling revenue &gt;2x YoY in recent quarters. End-to-end power + cooling for AI rack densities.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Already discussed in Layer 1, but Vertiv straddles power and cooling. Direct liquid cooling is the highest-growth sub-line.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Equinix (EQIX)</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~30-50%</w:t>
            </w:r>
            <w:r>
              <w:rPr>
                <w:rFonts w:ascii="Calibri" w:cs="Calibri" w:eastAsia="Calibri" w:hAnsi="Calibri"/>
                <w:b w:val="false"/>
                <w:bCs w:val="false"/>
                <w:i w:val="false"/>
                <w:iCs w:val="false"/>
                <w:color w:val="111827"/>
                <w:sz w:val="22"/>
                <w:szCs w:val="22"/>
              </w:rPr>
              <w:t xml:space="preserve"> — REIT-like return</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$9.2B revenue, 49% EBITDA margin. Multiple AI-ready campus expansions.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Modest stock return reflects REIT structure (yield + steady AFFO growth). The moat is interconnection, not just real estate. Has compounded reliably but did not give an asymmetric trade.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Digital Realty (DLR)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~20-40%</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$6.1B revenue; AI-ready wholesale leases; Blackstone JV for hyperscale.</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Wholesale REIT — more direct hyperscale leasing exposure than Equinix but lower-margin. Stock return tracked AFFO growth + cap rate movements.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Iron Mountain (IRM)</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revenue $416M; multiple expansions including Web Werks India (~5% stake).</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Iron Mountain's rerating is the textbook "old-economy company that pivoted into DC" trade. Records/storage business is steady; DC is the growth engine.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CoreWeave (CRWV)</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Post-IPO Mar-25</w:t>
            </w:r>
            <w:r>
              <w:rPr>
                <w:rFonts w:ascii="Calibri" w:cs="Calibri" w:eastAsia="Calibri" w:hAnsi="Calibri"/>
                <w:b w:val="false"/>
                <w:bCs w:val="false"/>
                <w:i w:val="false"/>
                <w:iCs w:val="false"/>
                <w:color w:val="111827"/>
                <w:sz w:val="22"/>
                <w:szCs w:val="22"/>
              </w:rPr>
              <w:t xml:space="preserve">; ~2-3x from list</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Specialised GPU cloud; NVIDIA-backed; customers Microsoft, OpenAI, Meta.</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The first pure-play "GPU cloud" listing. Operating model is half-colo, half-cloud. Concentration risk on top customers; multiple is extreme.</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Corning (GLW)</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~1.8-2x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Optical fiber demand for AI clusters reportedly +3-5x; multi-billion dollar capacity expansion underway.</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Corning's optical communications segment is the DC-attached business. They have explicitly attributed step-up demand to GenAI in earnings calls.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Ciena (CIEN)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~1.5-2x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Optical transport for DC interconnect (DCI). Hyperscalers and subsea consortia.</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DC interconnect demand is the cleanest sub-segment of optical networking. Ciena's DCI business is double-digit growth.</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Johnson Controls / Carrier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~1.5-2x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Acquired Silent-Aire (liquid cooling). Multiple liquid cooling expansions.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HVAC majors with DC-cooling pivot. Less leverage than Vertiv but still picked up the rerating tailwind.</w:t>
            </w:r>
          </w:p>
        </w:tc>
      </w:tr>
    </w:tbl>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3.3 India Mirror — Tiered</w:t>
      </w:r>
    </w:p>
    <w:p>
      <w:pPr>
        <w:pStyle w:val="Heading3"/>
        <w:spacing w:after="100" w:before="200"/>
      </w:pPr>
      <w:r>
        <w:rPr>
          <w:rFonts w:ascii="Calibri" w:cs="Calibri" w:eastAsia="Calibri" w:hAnsi="Calibri"/>
          <w:b/>
          <w:bCs/>
          <w:color w:val="1F2937"/>
          <w:sz w:val="24"/>
          <w:szCs w:val="24"/>
        </w:rPr>
        <w:t xml:space="preserve">Tier A — Already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Read-across</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Anant Raj</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Digital Realty / Vantage</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~15-20x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Real estate company turned DC developer. DCs operational/under-build in Panchkula, Manesar, Rai. The most violent rerating among any Indian DC-linked stock. Multiple is fully stretched; execution risk now dominates.</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Blue Star</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Vertiv (cooling) / Johnson Controls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HVAC + precision cooling. ₹400 Cr earmarked for capacity expansion. The textbook India cooling play. Multiple is now full but DC mix is rising rapidly.</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RailTel Corporation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Lumen (fiber proxy)</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~4-5x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Government fiber network + edge DCs. Margin compression as it invests; revenue growth strong.</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L&amp;T</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Quanta Services / Bechtel</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~2-2.5x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Dominant EPC for large DC projects in India. Diversified — DC is just one of many verticals — but visibility on DC orders is rising.</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Techno Electric &amp; Engineering</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Aligned / Vantage (EPC + DC operator)</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EPC + DC operator hybrid. Rare listed Indian company with both EPC and direct DC operating exposure. Specifically named in DC build pipelines.</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Tata Communications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Equinix / Lumen</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~1.5-2x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Global network + Indian DC operations (sold most DCs to STT GDC; retained subsea/CDN/connectivity). The fiber/subsea play.</w:t>
            </w:r>
          </w:p>
        </w:tc>
      </w:tr>
    </w:tbl>
    <w:p>
      <w:pPr>
        <w:spacing w:after="80" w:before="80"/>
      </w:pPr>
      <w:r>
        <w:rPr>
          <w:rFonts w:ascii="Calibri" w:cs="Calibri" w:eastAsia="Calibri" w:hAnsi="Calibri"/>
          <w:sz w:val="18"/>
          <w:szCs w:val="18"/>
        </w:rPr>
        <w:t xml:space="preserve"/>
      </w:r>
    </w:p>
    <w:p>
      <w:pPr>
        <w:pStyle w:val="Heading3"/>
        <w:spacing w:after="100" w:before="200"/>
      </w:pPr>
      <w:r>
        <w:rPr>
          <w:rFonts w:ascii="Calibri" w:cs="Calibri" w:eastAsia="Calibri" w:hAnsi="Calibri"/>
          <w:b/>
          <w:bCs/>
          <w:color w:val="1F2937"/>
          <w:sz w:val="24"/>
          <w:szCs w:val="24"/>
        </w:rPr>
        <w:t xml:space="preserve">Tier B — Picking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Why it is mid-rerating</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Voltas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Carrier / Trane Technologies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Range-bound to modest</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Tata Group HVAC. Project cooling capability exists but Voltas is positioned more as a consumer AC story. DC angle is real but not the dominant narrative — which is what makes it potentially asymmetric if it pivots.</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Thermax</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Bloom Energy (partial) / Babcock &amp; Wilcox</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~2-2.5x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Industrial energy systems — boilers, cooling, water treatment, captive power. Multi-angle DC play (cogen + cooling water + chillers). Hasn't been pitched as a DC stock yet.</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Sterlite Technologies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Corning (fiber)</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Choppy 1.5-2x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Domestic fiber leader. Stock has been disappointing relative to the fiber tailwind because of past balance sheet issues. New subsea cable landings and DC interconnect demand are the path to rerating.</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Sify Technologies (NASDAQ)</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Equinix (small-cap)</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Listed on Nasdaq; subdued</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38% revenue from DC. SEBI-approved IPO of Sify Infinit (₹3,700 Cr DC carve-out) — once that lists, the Nasdaq ADR may also rerate or become irrelevant.</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Bharti Airtel (Nxtra)</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AT&amp;T + Equinix bundled</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~2-2.5x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Nxtra (DC arm, Carlyle-backed) targeting 400MW by 2027. IPO expected. Stock today is mostly priced as telecom + tower; the Nxtra IPO will surface the DC stub value.</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Adani Enterprises (AdaniConneX)</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EdgeConneX / Vantage</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Group-specific volatility</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AdaniConneX JV (with EdgeConneX) is the DC vehicle. Chennai 400MW campus commissioned Dec-25. Group-specific risks dominate stock movement.</w:t>
            </w:r>
          </w:p>
        </w:tc>
      </w:tr>
    </w:tbl>
    <w:p>
      <w:pPr>
        <w:spacing w:after="80" w:before="80"/>
      </w:pPr>
      <w:r>
        <w:rPr>
          <w:rFonts w:ascii="Calibri" w:cs="Calibri" w:eastAsia="Calibri" w:hAnsi="Calibri"/>
          <w:sz w:val="18"/>
          <w:szCs w:val="18"/>
        </w:rPr>
        <w:t xml:space="preserve"/>
      </w:r>
    </w:p>
    <w:p>
      <w:pPr>
        <w:pStyle w:val="Heading3"/>
        <w:spacing w:after="100" w:before="200"/>
      </w:pPr>
      <w:r>
        <w:rPr>
          <w:rFonts w:ascii="Calibri" w:cs="Calibri" w:eastAsia="Calibri" w:hAnsi="Calibri"/>
          <w:b/>
          <w:bCs/>
          <w:color w:val="1F2937"/>
          <w:sz w:val="24"/>
          <w:szCs w:val="24"/>
        </w:rPr>
        <w:t xml:space="preserve">Tier C — Yet to Be Discovered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 Mirror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Why undiscovered</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ION Exchange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Veolia (no direct US public mirror)</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Water treatment + resin. The water side of liquid cooling — DC chillers and immersion systems both need processed water at scale. No one has framed ION Exchange as a DC stock yet.</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VA Tech Wabag</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Veolia / Pentair</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Water treatment / desalination. As Indian DCs scale and water scarcity bites in Chennai/Mumbai/Hyderabad, treated-water supply becomes a hard constraint. Indirect, but real.</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Kirloskar Brothers / Kirloskar Oil Engines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Generac / Cummins (UK Kirloskar)</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~2-3x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Pumps (Kirloskar Brothers) — used in cooling water systems — and engines/gensets (KOEL). Coverage is patchy; DC angle is not part of the narrative.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Black Box</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Belden / Panduit / Anixter (now WESCO)</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Essar group company. Structured cabling and DC connectivity solutions. Has DC build experience globally. Coverage is thin; balance sheet has been the historical concern.</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E2E Networks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CoreWeave / Lambda Labs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Large % move, small base</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"Mini AWS" / GPU cloud for Indian developers. Very small cap, one customer-win can move the stock. Now NSE-Tata Communications JV ownership has clarified the structure. Genuine sovereign-AI-compute optionality.</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ITD Cementation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Bechtel (private) / Granite Construction (partial)</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Civil construction — could capture DC building shell work as the colo wave scales. Not framed as a DC stock; mostly metro/highway/marine.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Honeywell Automation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Honeywell parent / Johnson Controls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Range-bound</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Building management systems, fire &amp; safety, DCS. DC integration is a clear sub-vertical but the listed Indian subsidiary has been an underperformer. Could re-enter the picture if DC project wins are disclosed.</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pre-IPO DC pipeline — track for when it lists</w:t>
            </w:r>
          </w:p>
          <w:p>
            <w:pPr>
              <w:spacing w:after="20" w:before="20"/>
            </w:pPr>
            <w:r>
              <w:rPr>
                <w:rFonts w:ascii="Calibri" w:cs="Calibri" w:eastAsia="Calibri" w:hAnsi="Calibri"/>
                <w:b w:val="false"/>
                <w:bCs w:val="false"/>
                <w:i w:val="false"/>
                <w:iCs w:val="false"/>
                <w:color w:val="111827"/>
                <w:sz w:val="20"/>
                <w:szCs w:val="20"/>
              </w:rPr>
              <w:t xml:space="preserve">Sify Infinit (SEBI-cleared, ₹3,700 Cr), Nxtra by Airtel (Carlyle-backed, ₹3B valuation, IPO expected), CtrlS (~50% EBITDA margin, ₹1,567 Cr revenue), Yotta (Hiranandani, hyperscale). When these list FY26-27 they will create the first directly investable Indian DC pure-plays. Until then, Anant Raj is the most direct listed proxy — but it has already run 15-20x. Watch the IPO pipeline as the next catalyst event.</w:t>
            </w:r>
          </w:p>
        </w:tc>
      </w:tr>
    </w:tbl>
    <w:p>
      <w:r>
        <w:br w:type="page"/>
      </w:r>
    </w:p>
    <w:p>
      <w:pPr>
        <w:pStyle w:val="Heading1"/>
        <w:spacing w:after="180" w:before="360"/>
      </w:pPr>
      <w:r>
        <w:rPr>
          <w:rFonts w:ascii="Calibri" w:cs="Calibri" w:eastAsia="Calibri" w:hAnsi="Calibri"/>
          <w:b/>
          <w:bCs/>
          <w:color w:val="0F172A"/>
          <w:sz w:val="36"/>
          <w:szCs w:val="36"/>
        </w:rPr>
        <w:t xml:space="preserve">Layer 4 — Models</w:t>
      </w:r>
    </w:p>
    <w:p>
      <w:pPr>
        <w:spacing w:after="60" w:before="60"/>
        <w:jc w:val="left"/>
      </w:pPr>
      <w:r>
        <w:rPr>
          <w:rFonts w:ascii="Calibri" w:cs="Calibri" w:eastAsia="Calibri" w:hAnsi="Calibri"/>
          <w:b w:val="false"/>
          <w:bCs w:val="false"/>
          <w:i/>
          <w:iCs/>
          <w:color w:val="111827"/>
          <w:sz w:val="22"/>
          <w:szCs w:val="22"/>
        </w:rPr>
        <w:t xml:space="preserve">Foundation model labs, cloud AI platforms, and the services firms that productise GenAI for enterprises. The smallest investable layer for both US and India listed equity.</w:t>
      </w:r>
    </w:p>
    <w:p>
      <w:pPr>
        <w:pStyle w:val="Heading2"/>
        <w:spacing w:after="140" w:before="280"/>
      </w:pPr>
      <w:r>
        <w:rPr>
          <w:rFonts w:ascii="Calibri" w:cs="Calibri" w:eastAsia="Calibri" w:hAnsi="Calibri"/>
          <w:b/>
          <w:bCs/>
          <w:color w:val="1E40AF"/>
          <w:sz w:val="28"/>
          <w:szCs w:val="28"/>
        </w:rPr>
        <w:t xml:space="preserve">4.1 Sub-segments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Frontier model labs: </w:t>
      </w:r>
      <w:r>
        <w:rPr>
          <w:rFonts w:ascii="Calibri" w:cs="Calibri" w:eastAsia="Calibri" w:hAnsi="Calibri"/>
          <w:b w:val="false"/>
          <w:bCs w:val="false"/>
          <w:i w:val="false"/>
          <w:iCs w:val="false"/>
          <w:color w:val="111827"/>
          <w:sz w:val="22"/>
          <w:szCs w:val="22"/>
        </w:rPr>
        <w:t xml:space="preserve">OpenAI, Anthropic, xAI, Google DeepMind (inside Alphabet), Meta AI (inside Meta), Mistral.</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Cloud AI platforms: </w:t>
      </w:r>
      <w:r>
        <w:rPr>
          <w:rFonts w:ascii="Calibri" w:cs="Calibri" w:eastAsia="Calibri" w:hAnsi="Calibri"/>
          <w:b w:val="false"/>
          <w:bCs w:val="false"/>
          <w:i w:val="false"/>
          <w:iCs w:val="false"/>
          <w:color w:val="111827"/>
          <w:sz w:val="22"/>
          <w:szCs w:val="22"/>
        </w:rPr>
        <w:t xml:space="preserve">AWS Bedrock, Azure OpenAI, Google Vertex — model-as-a-service inside the hyperscalers.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Open-weight / sovereign: </w:t>
      </w:r>
      <w:r>
        <w:rPr>
          <w:rFonts w:ascii="Calibri" w:cs="Calibri" w:eastAsia="Calibri" w:hAnsi="Calibri"/>
          <w:b w:val="false"/>
          <w:bCs w:val="false"/>
          <w:i w:val="false"/>
          <w:iCs w:val="false"/>
          <w:color w:val="111827"/>
          <w:sz w:val="22"/>
          <w:szCs w:val="22"/>
        </w:rPr>
        <w:t xml:space="preserve">DeepSeek, Mistral, Llama (Meta), and Indian sovereign efforts (Sarvam, Krutrim).</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AI-services &amp; engineering: </w:t>
      </w:r>
      <w:r>
        <w:rPr>
          <w:rFonts w:ascii="Calibri" w:cs="Calibri" w:eastAsia="Calibri" w:hAnsi="Calibri"/>
          <w:b w:val="false"/>
          <w:bCs w:val="false"/>
          <w:i w:val="false"/>
          <w:iCs w:val="false"/>
          <w:color w:val="111827"/>
          <w:sz w:val="22"/>
          <w:szCs w:val="22"/>
        </w:rPr>
        <w:t xml:space="preserve">the IT services firms that build, fine-tune, and deploy models for enterprises.</w:t>
      </w:r>
    </w:p>
    <w:p>
      <w:pPr>
        <w:pStyle w:val="Heading2"/>
        <w:spacing w:after="140" w:before="280"/>
      </w:pPr>
      <w:r>
        <w:rPr>
          <w:rFonts w:ascii="Calibri" w:cs="Calibri" w:eastAsia="Calibri" w:hAnsi="Calibri"/>
          <w:b/>
          <w:bCs/>
          <w:color w:val="1E40AF"/>
          <w:sz w:val="28"/>
          <w:szCs w:val="28"/>
        </w:rPr>
        <w:t xml:space="preserve">4.2 US — Who Made the Money (Mostly Private)</w:t>
      </w:r>
    </w:p>
    <w:p>
      <w:pPr>
        <w:spacing w:after="60" w:before="60"/>
        <w:jc w:val="left"/>
      </w:pPr>
      <w:r>
        <w:rPr>
          <w:rFonts w:ascii="Calibri" w:cs="Calibri" w:eastAsia="Calibri" w:hAnsi="Calibri"/>
          <w:b w:val="false"/>
          <w:bCs w:val="false"/>
          <w:i w:val="false"/>
          <w:iCs w:val="false"/>
          <w:color w:val="111827"/>
          <w:sz w:val="22"/>
          <w:szCs w:val="22"/>
        </w:rPr>
        <w:t xml:space="preserve">This is the layer where the most value has accrued to private companies. OpenAI's valuation has reportedly crossed $300B; Anthropic above $60B; xAI raising at $50-75B; Perplexity at $10B+. None are listed. The listed-equity expression of the Models layer in the US is therefore mostly via the hyperscalers (Microsoft, Alphabet, Meta) where Models is a sub-segment of a much larger business, and via a thin set of pure-play AI services.</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700"/>
        <w:gridCol w:w="3926"/>
      </w:tblGrid>
      <w:tr>
        <w:trPr>
          <w:tblHeader/>
        </w:trPr>
        <w:tc>
          <w:tcPr>
            <w:tcW w:type="dxa" w:w="20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w:t>
            </w:r>
          </w:p>
        </w:tc>
        <w:tc>
          <w:tcPr>
            <w:tcW w:type="dxa" w:w="1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Stock Move 2023→26</w:t>
            </w:r>
          </w:p>
        </w:tc>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DC Linkage</w:t>
            </w:r>
          </w:p>
        </w:tc>
        <w:tc>
          <w:tcPr>
            <w:tcW w:type="dxa" w:w="3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Read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Microsoft (MSFT)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OpenAI investment + Azure OpenAI Service. Azure DC capex ~$80-100B/yr.</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Models is bundled inside Azure cloud growth. Stock has been a quiet compounder rather than an asymmetric trade.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Alphabet (GOOG)</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Gemini family models. Custom TPU silicon (with Broadcom).</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Same pattern as MSFT — Models is inside the cloud + ads complex.</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Meta (META)</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Llama open-weight; MTIA custom silicon (Broadcom partner). DC capex $50-60B+/yr.</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Re-rating was multi-factor (ads recovery + AI). Most of Meta's move pre-dated GenAI specifically.</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Palantir (PLTR)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~10-15x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AIP (AI platform) for enterprise. US government + commercial GenAI deployments.</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Probably the closest pure-play listed-equity proxy to "productised AI for enterprise." Multiple is now extreme. Cautionary on valuation.</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Snowflake (SNOW)</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Flat to down</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Data platform for AI workloads (Cortex AI).</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Despite the AI angle, stock has been a laggard — consumption growth has lagged expectations. Cautionary on the "data is the new oil" thesis.</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Salesforce (CRM)</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Agentforce (AI agents for CRM workflows).</w:t>
            </w:r>
          </w:p>
        </w:tc>
        <w:tc>
          <w:tcPr>
            <w:tcW w:type="dxa" w:w="39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More of an Applications-layer play. AI agents are the differentiator but stock move has been modest.</w:t>
            </w:r>
          </w:p>
        </w:tc>
      </w:tr>
    </w:tbl>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4.3 India Mirror — Tiered</w:t>
      </w:r>
    </w:p>
    <w:p>
      <w:pPr>
        <w:spacing w:after="60" w:before="60"/>
        <w:jc w:val="left"/>
      </w:pPr>
      <w:r>
        <w:rPr>
          <w:rFonts w:ascii="Calibri" w:cs="Calibri" w:eastAsia="Calibri" w:hAnsi="Calibri"/>
          <w:b w:val="false"/>
          <w:bCs w:val="false"/>
          <w:i w:val="false"/>
          <w:iCs w:val="false"/>
          <w:color w:val="111827"/>
          <w:sz w:val="22"/>
          <w:szCs w:val="22"/>
        </w:rPr>
        <w:t xml:space="preserve">Indian listed exposure to the Models layer is largely through (a) the GenAI-enabled IT services majors and (b) AI engineering services pure-plays. The frontier labs (Sarvam AI, Krutrim by Ola, TIH-IIT Bombay, etc.) are private. This layer is harder to play with high conviction because GenAI productisation gains in IT services are not uniformly distributed — and the consensus is unsure whether GenAI will compress or expand revenue per developer.</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Tier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AI/Model angle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Persistent Systems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~3-4x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Strong GenAI services pivot; product engineering for AI-native ISVs. One of the cleanest mid-cap AI services rerates.</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Coforge</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Insurance + travel AI-services focus. Cigniti acquisition adds AI quality engineering. Already a buy-side favourite.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LTIMindtree</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Range-bound after merger</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L&amp;T Group; broad GenAI services. Performance has lagged peers post-merger.</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Mphasis</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Range-bound</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Blackstone-backed; banking-heavy. AI services is a strong sub-theme but stock has not rerated meaningfully.</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TCS / Infosys / Wipro / HCL Tech</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0-1.5x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Mega-caps. GenAI is a sub-theme inside slowing services revenue. Cautious view — GenAI may be a margin headwind before it is a tailwind. Better thought of as defensive yield than pure AI play.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Tata Elxsi</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Corrected from 2021-22 peak</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ER&amp;D services — auto, broadcast, medical. AI engineering work growing. Multiple has come off significantly from peak — could be a contrarian Tier B if AI ER&amp;D accelerates.</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KPIT Technologies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Auto SDV (software-defined vehicle) ER&amp;D — adjacent to AI applications. Already rerated meaningfully.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Happiest Minds Technologies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Corrected after IPO pop</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AI-first services positioning. Multiple has come off; could re-enter the picture if execution sustains.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Sonata Software</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Volatile</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Mid-cap IT services with platform/AI focus (Harmoni.AI). Choppy execution but real AI angle.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Cyient</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Mixed</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ER&amp;D + Cyient DLM (EMS). Underappreciated in the AI narrative.</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The honest framing on Models layer</w:t>
            </w:r>
          </w:p>
          <w:p>
            <w:pPr>
              <w:spacing w:after="20" w:before="20"/>
            </w:pPr>
            <w:r>
              <w:rPr>
                <w:rFonts w:ascii="Calibri" w:cs="Calibri" w:eastAsia="Calibri" w:hAnsi="Calibri"/>
                <w:b w:val="false"/>
                <w:bCs w:val="false"/>
                <w:i w:val="false"/>
                <w:iCs w:val="false"/>
                <w:color w:val="111827"/>
                <w:sz w:val="20"/>
                <w:szCs w:val="20"/>
              </w:rPr>
              <w:t xml:space="preserve">For a client pitch, Layer 4 in India is best framed as "a defensive overlay" rather than "the trade." The most asymmetric AI rerating in Indian IT services has already happened in Persistent and Coforge. The frontier model labs are private. The IT services mega-caps face a real risk that GenAI compresses their seat-based revenue model before it expands it. Position the layer accordingly.</w:t>
            </w:r>
          </w:p>
        </w:tc>
      </w:tr>
    </w:tbl>
    <w:p>
      <w:r>
        <w:br w:type="page"/>
      </w:r>
    </w:p>
    <w:p>
      <w:pPr>
        <w:pStyle w:val="Heading1"/>
        <w:spacing w:after="180" w:before="360"/>
      </w:pPr>
      <w:r>
        <w:rPr>
          <w:rFonts w:ascii="Calibri" w:cs="Calibri" w:eastAsia="Calibri" w:hAnsi="Calibri"/>
          <w:b/>
          <w:bCs/>
          <w:color w:val="0F172A"/>
          <w:sz w:val="36"/>
          <w:szCs w:val="36"/>
        </w:rPr>
        <w:t xml:space="preserve">Layer 5 — Applications</w:t>
      </w:r>
    </w:p>
    <w:p>
      <w:pPr>
        <w:spacing w:after="60" w:before="60"/>
        <w:jc w:val="left"/>
      </w:pPr>
      <w:r>
        <w:rPr>
          <w:rFonts w:ascii="Calibri" w:cs="Calibri" w:eastAsia="Calibri" w:hAnsi="Calibri"/>
          <w:b w:val="false"/>
          <w:bCs w:val="false"/>
          <w:i/>
          <w:iCs/>
          <w:color w:val="111827"/>
          <w:sz w:val="22"/>
          <w:szCs w:val="22"/>
        </w:rPr>
        <w:t xml:space="preserve">The end-user consumption layer: hyperscaler cloud, AI-native consumer apps, enterprise SaaS, and AI-enabled traditional businesses.</w:t>
      </w:r>
    </w:p>
    <w:p>
      <w:pPr>
        <w:pStyle w:val="Heading2"/>
        <w:spacing w:after="140" w:before="280"/>
      </w:pPr>
      <w:r>
        <w:rPr>
          <w:rFonts w:ascii="Calibri" w:cs="Calibri" w:eastAsia="Calibri" w:hAnsi="Calibri"/>
          <w:b/>
          <w:bCs/>
          <w:color w:val="1E40AF"/>
          <w:sz w:val="28"/>
          <w:szCs w:val="28"/>
        </w:rPr>
        <w:t xml:space="preserve">5.1 Sub-segments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Hyperscaler cloud: </w:t>
      </w:r>
      <w:r>
        <w:rPr>
          <w:rFonts w:ascii="Calibri" w:cs="Calibri" w:eastAsia="Calibri" w:hAnsi="Calibri"/>
          <w:b w:val="false"/>
          <w:bCs w:val="false"/>
          <w:i w:val="false"/>
          <w:iCs w:val="false"/>
          <w:color w:val="111827"/>
          <w:sz w:val="22"/>
          <w:szCs w:val="22"/>
        </w:rPr>
        <w:t xml:space="preserve">AWS, Azure, GCP, Oracle Cloud. The largest single category of DC capex.</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AI-native consumer apps: </w:t>
      </w:r>
      <w:r>
        <w:rPr>
          <w:rFonts w:ascii="Calibri" w:cs="Calibri" w:eastAsia="Calibri" w:hAnsi="Calibri"/>
          <w:b w:val="false"/>
          <w:bCs w:val="false"/>
          <w:i w:val="false"/>
          <w:iCs w:val="false"/>
          <w:color w:val="111827"/>
          <w:sz w:val="22"/>
          <w:szCs w:val="22"/>
        </w:rPr>
        <w:t xml:space="preserve">ChatGPT, Claude, Perplexity, Midjourney, Character.AI — mostly private.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Enterprise SaaS with AI: </w:t>
      </w:r>
      <w:r>
        <w:rPr>
          <w:rFonts w:ascii="Calibri" w:cs="Calibri" w:eastAsia="Calibri" w:hAnsi="Calibri"/>
          <w:b w:val="false"/>
          <w:bCs w:val="false"/>
          <w:i w:val="false"/>
          <w:iCs w:val="false"/>
          <w:color w:val="111827"/>
          <w:sz w:val="22"/>
          <w:szCs w:val="22"/>
        </w:rPr>
        <w:t xml:space="preserve">Microsoft Copilot, Salesforce Agentforce, ServiceNow, Adobe.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Vertical SaaS: </w:t>
      </w:r>
      <w:r>
        <w:rPr>
          <w:rFonts w:ascii="Calibri" w:cs="Calibri" w:eastAsia="Calibri" w:hAnsi="Calibri"/>
          <w:b w:val="false"/>
          <w:bCs w:val="false"/>
          <w:i w:val="false"/>
          <w:iCs w:val="false"/>
          <w:color w:val="111827"/>
          <w:sz w:val="22"/>
          <w:szCs w:val="22"/>
        </w:rPr>
        <w:t xml:space="preserve">industry-specific software that embeds AI (healthcare, fintech, legal).</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AI-enabled consumer / fintech / commerce: </w:t>
      </w:r>
      <w:r>
        <w:rPr>
          <w:rFonts w:ascii="Calibri" w:cs="Calibri" w:eastAsia="Calibri" w:hAnsi="Calibri"/>
          <w:b w:val="false"/>
          <w:bCs w:val="false"/>
          <w:i w:val="false"/>
          <w:iCs w:val="false"/>
          <w:color w:val="111827"/>
          <w:sz w:val="22"/>
          <w:szCs w:val="22"/>
        </w:rPr>
        <w:t xml:space="preserve">companies using AI as a productivity wedge in existing businesses.</w:t>
      </w:r>
    </w:p>
    <w:p>
      <w:pPr>
        <w:pStyle w:val="Heading2"/>
        <w:spacing w:after="140" w:before="280"/>
      </w:pPr>
      <w:r>
        <w:rPr>
          <w:rFonts w:ascii="Calibri" w:cs="Calibri" w:eastAsia="Calibri" w:hAnsi="Calibri"/>
          <w:b/>
          <w:bCs/>
          <w:color w:val="1E40AF"/>
          <w:sz w:val="28"/>
          <w:szCs w:val="28"/>
        </w:rPr>
        <w:t xml:space="preserve">5.2 US — Who Made the Money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4226"/>
      </w:tblGrid>
      <w:tr>
        <w:trPr>
          <w:tblHeader/>
        </w:trPr>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Company</w:t>
            </w:r>
          </w:p>
        </w:tc>
        <w:tc>
          <w:tcPr>
            <w:tcW w:type="dxa" w:w="14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Stock Move</w:t>
            </w:r>
          </w:p>
        </w:tc>
        <w:tc>
          <w:tcPr>
            <w:tcW w:type="dxa" w:w="17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AI/DC Linkage</w:t>
            </w:r>
          </w:p>
        </w:tc>
        <w:tc>
          <w:tcPr>
            <w:tcW w:type="dxa" w:w="42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Read</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Amazon (AMZN)</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AWS AI: Bedrock, Trainium. DC capex $80-100B/yr.</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AWS is the largest single category of hyperscaler DC capex. Stock return reflects retail + cloud blend.</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Microsoft (MSFT)</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Azure OpenAI; Copilot productisation across Office, GitHub, Dynamics.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The most successful AI commercialisation across enterprise software stacks.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Oracle (ORCL)</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~2.5-3x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OCI Gen2 cloud; multi-billion-dollar OpenAI/Cohere contracts.</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Underappreciated AI cloud play. RPO (remaining performance obligations) shot up on hyperscaler-grade contracts.</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ServiceNow (NOW)</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~2-2.5x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Now Assist GenAI SKUs; AI agents for ITSM and HR.</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Among the cleanest enterprise SaaS "AI monetisation" stories with disclosed pricing premium.</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Adobe (ADBE)</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Flat to mildly negative</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Firefly, Creative Cloud AI.</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Cautionary tale — AI productivity for creators has been a margin question, not a tailwind. Stock has been a laggard despite product traction.</w:t>
            </w:r>
          </w:p>
        </w:tc>
      </w:tr>
      <w:tr>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Palantir (PLTR)</w:t>
            </w:r>
          </w:p>
        </w:tc>
        <w:tc>
          <w:tcPr>
            <w:tcW w:type="dxa" w:w="14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~10-15x</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AIP for enterprise and government.</w:t>
            </w:r>
          </w:p>
        </w:tc>
        <w:tc>
          <w:tcPr>
            <w:tcW w:type="dxa" w:w="4226"/>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Crossed into Apps layer via productised AI workflows. Multiple is now extreme.</w:t>
            </w:r>
          </w:p>
        </w:tc>
      </w:tr>
    </w:tbl>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5.3 India Mirror — Tiered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49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Indian Company</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Tier</w:t>
            </w:r>
          </w:p>
        </w:tc>
        <w:tc>
          <w:tcPr>
            <w:tcW w:type="dxa" w:w="11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Move</w:t>
            </w:r>
          </w:p>
        </w:tc>
        <w:tc>
          <w:tcPr>
            <w:tcW w:type="dxa" w:w="49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AI/DC angle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Zomato / Eternal</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~5-6x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for matching, pricing, delivery routing. Blinkit + Hyperpure stack. Move was business-execution led; AI is the operational moat rather than the narrative.</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PB Fintech / Policybazaar</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AI underwriting, claims, advisory. Already rerated.</w:t>
            </w:r>
          </w:p>
        </w:tc>
      </w:tr>
      <w:tr>
        <w:tc>
          <w:tcPr>
            <w:tcW w:type="dxa" w:w="19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Info Edge / Naukri</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Tier A</w:t>
            </w:r>
          </w:p>
        </w:tc>
        <w:tc>
          <w:tcPr>
            <w:tcW w:type="dxa" w:w="1100"/>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~2x</w:t>
            </w:r>
          </w:p>
        </w:tc>
        <w:tc>
          <w:tcPr>
            <w:tcW w:type="dxa" w:w="4926"/>
            <w:tcBorders>
              <w:top w:val="single" w:color="CBD5E1" w:sz="4"/>
              <w:left w:val="single" w:color="CBD5E1" w:sz="4"/>
              <w:bottom w:val="single" w:color="CBD5E1" w:sz="4"/>
              <w:right w:val="single" w:color="CBD5E1" w:sz="4"/>
            </w:tcBorders>
            <w:shd w:fill="E5E7EB"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Holds Zomato + Policybazaar stakes; AI-driven matching in Naukri/99acres. Mostly NAV trade.</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Newgen Software</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~3x</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BPM/content management with GenAI overlays. Niche Indian product company.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Intellect Design Arena</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Volatile</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Banking SaaS products with GenAI features. Long-cycle deals; revenue volatility.</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Tanla Platforms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Corrected from peak</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CPaaS — AI conversational messaging at scale. Multiple has come off; could re-enter on Trusted Communications enforcement and AI agents traction.</w:t>
            </w:r>
          </w:p>
        </w:tc>
      </w:tr>
      <w:tr>
        <w:tc>
          <w:tcPr>
            <w:tcW w:type="dxa" w:w="19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Zaggle Prepaid Ocean Services</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Tier B</w:t>
            </w:r>
          </w:p>
        </w:tc>
        <w:tc>
          <w:tcPr>
            <w:tcW w:type="dxa" w:w="11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~2x post-IPO</w:t>
            </w:r>
          </w:p>
        </w:tc>
        <w:tc>
          <w:tcPr>
            <w:tcW w:type="dxa" w:w="4926"/>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Spend management SaaS. AI-driven analytics overlays. Small-cap, lower coverage.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Affle (India)</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Range-bound</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Mobile-first ad tech with deep AI/ML targeting. Underappreciated post 2021-22 highs.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Route Mobile (now part of Proximus)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Mixed</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Communications platform. Ownership structure changes have driven stock more than fundamentals recently.</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Nazara Technologies</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66534"/>
                <w:sz w:val="22"/>
                <w:szCs w:val="22"/>
              </w:rPr>
              <w:t xml:space="preserve">Tier C</w:t>
            </w:r>
          </w:p>
        </w:tc>
        <w:tc>
          <w:tcPr>
            <w:tcW w:type="dxa" w:w="11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92400E"/>
                <w:sz w:val="22"/>
                <w:szCs w:val="22"/>
              </w:rPr>
              <w:t xml:space="preserve">Volatile</w:t>
            </w:r>
          </w:p>
        </w:tc>
        <w:tc>
          <w:tcPr>
            <w:tcW w:type="dxa" w:w="49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Gaming + e-sports. AI-driven game personalisation and creator tools. Speculative; size remains small.</w:t>
            </w:r>
          </w:p>
        </w:tc>
      </w:tr>
    </w:tbl>
    <w:p>
      <w:r>
        <w:br w:type="page"/>
      </w:r>
    </w:p>
    <w:p>
      <w:pPr>
        <w:pStyle w:val="Heading1"/>
        <w:spacing w:after="180" w:before="360"/>
      </w:pPr>
      <w:r>
        <w:rPr>
          <w:rFonts w:ascii="Calibri" w:cs="Calibri" w:eastAsia="Calibri" w:hAnsi="Calibri"/>
          <w:b/>
          <w:bCs/>
          <w:color w:val="0F172A"/>
          <w:sz w:val="36"/>
          <w:szCs w:val="36"/>
        </w:rPr>
        <w:t xml:space="preserve">The "Next Sterlite" Watchlist</w:t>
      </w:r>
    </w:p>
    <w:p>
      <w:pPr>
        <w:spacing w:after="60" w:before="60"/>
        <w:jc w:val="left"/>
      </w:pPr>
      <w:r>
        <w:rPr>
          <w:rFonts w:ascii="Calibri" w:cs="Calibri" w:eastAsia="Calibri" w:hAnsi="Calibri"/>
          <w:b w:val="false"/>
          <w:bCs w:val="false"/>
          <w:i/>
          <w:iCs/>
          <w:color w:val="111827"/>
          <w:sz w:val="22"/>
          <w:szCs w:val="22"/>
        </w:rPr>
        <w:t xml:space="preserve">Distilling everything above into the most asymmetric Tier B/C opportunities — names where the rerating has not yet happened (or has just started), the DC narrative is not in price, and the order-book/exposure linkage is real. Stack-ranked by directness of DC exposure and observable order-book signal.</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300"/>
        <w:gridCol w:w="4626"/>
      </w:tblGrid>
      <w:tr>
        <w:trPr>
          <w:tblHeader/>
        </w:trPr>
        <w:tc>
          <w:tcPr>
            <w:tcW w:type="dxa" w:w="19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Watchlist Stock</w:t>
            </w:r>
          </w:p>
        </w:tc>
        <w:tc>
          <w:tcPr>
            <w:tcW w:type="dxa" w:w="12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1300"/>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Tier</w:t>
            </w:r>
          </w:p>
        </w:tc>
        <w:tc>
          <w:tcPr>
            <w:tcW w:type="dxa" w:w="4626"/>
            <w:tcBorders>
              <w:top w:val="single" w:color="CBD5E1" w:sz="4"/>
              <w:left w:val="single" w:color="CBD5E1" w:sz="4"/>
              <w:bottom w:val="single" w:color="CBD5E1" w:sz="4"/>
              <w:right w:val="single" w:color="CBD5E1" w:sz="4"/>
            </w:tcBorders>
            <w:shd w:fill="1F2937"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Pitch one-liner</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Voltamp Transformers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 → 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MV/HV transformer specialist. Low debt, high RoCE, strong order book. The DC angle is structural via global transformer shortage. Lower profile than CG/ABB/Hitachi — and that's the point.</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Indo Tech Transformers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Small-cap transformer maker. Tiny institutional ownership, in the right end-market. Classic small-cap optionality on the transformer cycle.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TD Power Systems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AC generators 5-200 MW. Exports-heavy. Beneficiary of global gas-turbine genset demand from DC operators (the BYOP trade). Mid-cap, modest coverage.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Salzer Electronics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 / Infra</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Switchgear + PDU-type products. Schneider JV partner. Direct fit for DC physical infrastructure with almost no sell-side coverage.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Schneider Electric Infrastructure</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Indian listed Schneider sub. Smart grid + MV equipment. Has lagged the global parent's DC story — re-rating could close that gap if domestic order momentum sustains.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Triveni Turbine</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Up-to-100MW steam turbines for captive/cogen. Underappreciated DC on-site-power angle; mostly seen as industrial/biomass.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HBL Engineering &amp; Industries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Energy</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Specialty batteries (DC, UPS, telecom). The KAVACH story drove the recent move; the DC battery/UPS angle is a structural overlay the market hasn't priced.</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ION Exchange (India)</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Infrastructure</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Water treatment + resins. The water side of liquid cooling. No one has framed it as a DC stock. As liquid cooling becomes non-optional, processed-water capacity becomes binding.</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VA Tech Wabag</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Infrastructure</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Water treatment. As water scarcity tightens in Chennai/Mumbai/Hyderabad DC hubs, water-treatment economics shift in favour of operators with treatment partners.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Honeywell Automation India</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Infrastructure</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 (contrarian)</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Building management systems, fire &amp; safety, DCS. DC integration is a clear sub-vertical. Stock has been an underperformer — that is the entry point if order disclosure improves.</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Black Box</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Infrastructure</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Structured cabling + DC connectivity. Essar group. Balance sheet has been the historic concern; if cleaned up, the global DC build pipeline is a real growth pool.</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ITD Cementation</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Infrastructure</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Civil construction. Could pick up DC building-shell EPC as the colo wave scales. Not currently in any DC narrative.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MosChip Technologies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Chips</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 (speculative)</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Semiconductor IP + ASIC services. Closest listed Indian play to Broadcom-style design services, but microscopic scale. Very speculative.</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Tata Elxsi</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Models / Chips</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 (contrarian)</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Has corrected significantly from peak. AI ER&amp;D + semi design services. Multiple is no longer stretched.</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E2E Networks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Infra / Models</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 (high-vol)</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"Mini AWS"/GPU cloud. Tata Communications JV. Tiny cap; one hyperscaler partnership could reshape the trade. Genuine sovereign-AI optionality.</w:t>
            </w:r>
          </w:p>
        </w:tc>
      </w:tr>
      <w:tr>
        <w:tc>
          <w:tcPr>
            <w:tcW w:type="dxa" w:w="19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bCs/>
                <w:i w:val="false"/>
                <w:iCs w:val="false"/>
                <w:color w:val="111827"/>
                <w:sz w:val="22"/>
                <w:szCs w:val="22"/>
              </w:rPr>
              <w:t xml:space="preserve">Tanla Platforms</w:t>
            </w:r>
          </w:p>
        </w:tc>
        <w:tc>
          <w:tcPr>
            <w:tcW w:type="dxa" w:w="12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Applications</w:t>
            </w:r>
          </w:p>
        </w:tc>
        <w:tc>
          <w:tcPr>
            <w:tcW w:type="dxa" w:w="1300"/>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B (contrarian)</w:t>
            </w:r>
          </w:p>
        </w:tc>
        <w:tc>
          <w:tcPr>
            <w:tcW w:type="dxa" w:w="4626"/>
            <w:tcBorders>
              <w:top w:val="single" w:color="CBD5E1" w:sz="4"/>
              <w:left w:val="single" w:color="CBD5E1" w:sz="4"/>
              <w:bottom w:val="single" w:color="CBD5E1" w:sz="4"/>
              <w:right w:val="single" w:color="CBD5E1" w:sz="4"/>
            </w:tcBorders>
            <w:shd w:fill="DCFCE7" w:val="clear"/>
            <w:tcMar>
              <w:top w:type="dxa" w:w="100"/>
              <w:left w:type="dxa" w:w="140"/>
              <w:bottom w:type="dxa" w:w="100"/>
              <w:right w:type="dxa" w:w="140"/>
            </w:tcMar>
            <w:vAlign w:val="top"/>
          </w:tcPr>
          <w:p>
            <w:pPr>
              <w:jc w:val="left"/>
            </w:pPr>
            <w:r>
              <w:rPr>
                <w:rFonts w:ascii="Calibri" w:cs="Calibri" w:eastAsia="Calibri" w:hAnsi="Calibri"/>
                <w:b w:val="false"/>
                <w:bCs w:val="false"/>
                <w:i w:val="false"/>
                <w:iCs w:val="false"/>
                <w:color w:val="111827"/>
                <w:sz w:val="20"/>
                <w:szCs w:val="20"/>
              </w:rPr>
              <w:t xml:space="preserve">CPaaS + AI conversational. Multiple has corrected from peak. Re-rating possible on enterprise AI-agent traction.</w:t>
            </w:r>
          </w:p>
        </w:tc>
      </w:tr>
    </w:tbl>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How to use this watchlist in a client pitch</w:t>
            </w:r>
          </w:p>
          <w:p>
            <w:pPr>
              <w:spacing w:after="20" w:before="20"/>
            </w:pPr>
            <w:r>
              <w:rPr>
                <w:rFonts w:ascii="Calibri" w:cs="Calibri" w:eastAsia="Calibri" w:hAnsi="Calibri"/>
                <w:b w:val="false"/>
                <w:bCs w:val="false"/>
                <w:i w:val="false"/>
                <w:iCs w:val="false"/>
                <w:color w:val="111827"/>
                <w:sz w:val="20"/>
                <w:szCs w:val="20"/>
              </w:rPr>
              <w:t xml:space="preserve">These are starting points, not buy calls. Each name needs a separate 1-pager covering: (1) latest quarterly order book and explicit DC-attributable revenue, (2) named DC customer wins disclosed in filings or recent investor presentations, (3) capacity expansion runway, (4) ownership pattern and float (some Tier C names have very low free float which raises liquidity risk), (5) current consensus vs your house view. The fastest way to build conviction is to find one disclosure — an order, an investor day comment, a capex announcement — that the market hasn't quoted in a research note yet.</w:t>
            </w:r>
          </w:p>
        </w:tc>
      </w:tr>
    </w:tbl>
    <w:p>
      <w:r>
        <w:br w:type="page"/>
      </w:r>
    </w:p>
    <w:p>
      <w:pPr>
        <w:pStyle w:val="Heading1"/>
        <w:spacing w:after="180" w:before="360"/>
      </w:pPr>
      <w:r>
        <w:rPr>
          <w:rFonts w:ascii="Calibri" w:cs="Calibri" w:eastAsia="Calibri" w:hAnsi="Calibri"/>
          <w:b/>
          <w:bCs/>
          <w:color w:val="0F172A"/>
          <w:sz w:val="36"/>
          <w:szCs w:val="36"/>
        </w:rPr>
        <w:t xml:space="preserve">Risks &amp; Watchpoints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AI capex pause / digestion cycle: </w:t>
      </w:r>
      <w:r>
        <w:rPr>
          <w:rFonts w:ascii="Calibri" w:cs="Calibri" w:eastAsia="Calibri" w:hAnsi="Calibri"/>
          <w:b w:val="false"/>
          <w:bCs w:val="false"/>
          <w:i w:val="false"/>
          <w:iCs w:val="false"/>
          <w:color w:val="111827"/>
          <w:sz w:val="22"/>
          <w:szCs w:val="22"/>
        </w:rPr>
        <w:t xml:space="preserve">The biggest single risk to every layer except defensive utilities/REITs. If hyperscaler capex moderates from $600B → $400B trajectory, the order-book momentum in equipment and infrastructure names becomes vulnerable to derating.</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Custom silicon eating NVIDIA share: </w:t>
      </w:r>
      <w:r>
        <w:rPr>
          <w:rFonts w:ascii="Calibri" w:cs="Calibri" w:eastAsia="Calibri" w:hAnsi="Calibri"/>
          <w:b w:val="false"/>
          <w:bCs w:val="false"/>
          <w:i w:val="false"/>
          <w:iCs w:val="false"/>
          <w:color w:val="111827"/>
          <w:sz w:val="22"/>
          <w:szCs w:val="22"/>
        </w:rPr>
        <w:t xml:space="preserve">If Broadcom/Marvell ASIC volumes scale faster than expected, NVIDIA's pricing power moderates. Watch share trajectory.</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Indian power grid stress: </w:t>
      </w:r>
      <w:r>
        <w:rPr>
          <w:rFonts w:ascii="Calibri" w:cs="Calibri" w:eastAsia="Calibri" w:hAnsi="Calibri"/>
          <w:b w:val="false"/>
          <w:bCs w:val="false"/>
          <w:i w:val="false"/>
          <w:iCs w:val="false"/>
          <w:color w:val="111827"/>
          <w:sz w:val="22"/>
          <w:szCs w:val="22"/>
        </w:rPr>
        <w:t xml:space="preserve">Despite near-zero national power deficit, regional grid instability can delay DC commissioning. PPA economics need ≤₹4/kWh to clear hurdle rates.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Land scarcity in metros: </w:t>
      </w:r>
      <w:r>
        <w:rPr>
          <w:rFonts w:ascii="Calibri" w:cs="Calibri" w:eastAsia="Calibri" w:hAnsi="Calibri"/>
          <w:b w:val="false"/>
          <w:bCs w:val="false"/>
          <w:i w:val="false"/>
          <w:iCs w:val="false"/>
          <w:color w:val="111827"/>
          <w:sz w:val="22"/>
          <w:szCs w:val="22"/>
        </w:rPr>
        <w:t xml:space="preserve">Mumbai/Bangalore land &gt;$200/m². Zoning + adjacency to substations + fiber creates a binding constraint.</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Pre-IPO DC operator execution: </w:t>
      </w:r>
      <w:r>
        <w:rPr>
          <w:rFonts w:ascii="Calibri" w:cs="Calibri" w:eastAsia="Calibri" w:hAnsi="Calibri"/>
          <w:b w:val="false"/>
          <w:bCs w:val="false"/>
          <w:i w:val="false"/>
          <w:iCs w:val="false"/>
          <w:color w:val="111827"/>
          <w:sz w:val="22"/>
          <w:szCs w:val="22"/>
        </w:rPr>
        <w:t xml:space="preserve">Yotta, CtrlS, Nxtra are capital-intensive with long paybacks. Pre-IPO valuation optimism may not be matched by cashflow once listed.</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Tariffs and currency: </w:t>
      </w:r>
      <w:r>
        <w:rPr>
          <w:rFonts w:ascii="Calibri" w:cs="Calibri" w:eastAsia="Calibri" w:hAnsi="Calibri"/>
          <w:b w:val="false"/>
          <w:bCs w:val="false"/>
          <w:i w:val="false"/>
          <w:iCs w:val="false"/>
          <w:color w:val="111827"/>
          <w:sz w:val="22"/>
          <w:szCs w:val="22"/>
        </w:rPr>
        <w:t xml:space="preserve">US tariff regime affects equipment imports both ways. Indian rupee weakness aids exporters (Apar, Polycab, KEC) but raises import costs for cooling components.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800V DC architecture transition risk: </w:t>
      </w:r>
      <w:r>
        <w:rPr>
          <w:rFonts w:ascii="Calibri" w:cs="Calibri" w:eastAsia="Calibri" w:hAnsi="Calibri"/>
          <w:b w:val="false"/>
          <w:bCs w:val="false"/>
          <w:i w:val="false"/>
          <w:iCs w:val="false"/>
          <w:color w:val="111827"/>
          <w:sz w:val="22"/>
          <w:szCs w:val="22"/>
        </w:rPr>
        <w:t xml:space="preserve">Creates winners and losers among equipment suppliers. Companies that don't adapt may lose design-in slots.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Water scarcity: </w:t>
      </w:r>
      <w:r>
        <w:rPr>
          <w:rFonts w:ascii="Calibri" w:cs="Calibri" w:eastAsia="Calibri" w:hAnsi="Calibri"/>
          <w:b w:val="false"/>
          <w:bCs w:val="false"/>
          <w:i w:val="false"/>
          <w:iCs w:val="false"/>
          <w:color w:val="111827"/>
          <w:sz w:val="22"/>
          <w:szCs w:val="22"/>
        </w:rPr>
        <w:t xml:space="preserve">As liquid cooling scales, water becomes a binding constraint in some Indian DC hubs.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Concentration risk in Tier C names: </w:t>
      </w:r>
      <w:r>
        <w:rPr>
          <w:rFonts w:ascii="Calibri" w:cs="Calibri" w:eastAsia="Calibri" w:hAnsi="Calibri"/>
          <w:b w:val="false"/>
          <w:bCs w:val="false"/>
          <w:i w:val="false"/>
          <w:iCs w:val="false"/>
          <w:color w:val="111827"/>
          <w:sz w:val="22"/>
          <w:szCs w:val="22"/>
        </w:rPr>
        <w:t xml:space="preserve">Several yet-to-be-discovered names have low free float and limited liquidity. Sizing should reflect that.</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Governance / accounting risk: </w:t>
      </w:r>
      <w:r>
        <w:rPr>
          <w:rFonts w:ascii="Calibri" w:cs="Calibri" w:eastAsia="Calibri" w:hAnsi="Calibri"/>
          <w:b w:val="false"/>
          <w:bCs w:val="false"/>
          <w:i w:val="false"/>
          <w:iCs w:val="false"/>
          <w:color w:val="111827"/>
          <w:sz w:val="22"/>
          <w:szCs w:val="22"/>
        </w:rPr>
        <w:t xml:space="preserve">The Super Micro episode is a reminder that high-momentum DC names can have material governance issues. Diligence applies especially in small-cap Indian Tier C names.</w:t>
      </w:r>
    </w:p>
    <w:p>
      <w:r>
        <w:br w:type="page"/>
      </w:r>
    </w:p>
    <w:p>
      <w:pPr>
        <w:pStyle w:val="Heading1"/>
        <w:spacing w:after="180" w:before="360"/>
      </w:pPr>
      <w:r>
        <w:rPr>
          <w:rFonts w:ascii="Calibri" w:cs="Calibri" w:eastAsia="Calibri" w:hAnsi="Calibri"/>
          <w:b/>
          <w:bCs/>
          <w:color w:val="0F172A"/>
          <w:sz w:val="36"/>
          <w:szCs w:val="36"/>
        </w:rPr>
        <w:t xml:space="preserve">Conclusion — How to Use This Report</w:t>
      </w:r>
    </w:p>
    <w:p>
      <w:pPr>
        <w:spacing w:after="60" w:before="60"/>
        <w:jc w:val="left"/>
      </w:pPr>
      <w:r>
        <w:rPr>
          <w:rFonts w:ascii="Calibri" w:cs="Calibri" w:eastAsia="Calibri" w:hAnsi="Calibri"/>
          <w:b w:val="false"/>
          <w:bCs w:val="false"/>
          <w:i w:val="false"/>
          <w:iCs w:val="false"/>
          <w:color w:val="111827"/>
          <w:sz w:val="22"/>
          <w:szCs w:val="22"/>
        </w:rPr>
        <w:t xml:space="preserve">The thesis in one line: in India, the playable DC value chain is concentrated in Energy (Layer 1) and Infrastructure (Layer 3), with thinner but real exposure in Chips/EMS (Layer 2), Models/IT services (Layer 4), and Applications (Layer 5).</w:t>
      </w:r>
    </w:p>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For client pitches — three suggested baskets</w:t>
      </w:r>
    </w:p>
    <w:p>
      <w:pPr>
        <w:pStyle w:val="Heading3"/>
        <w:spacing w:after="100" w:before="200"/>
      </w:pPr>
      <w:r>
        <w:rPr>
          <w:rFonts w:ascii="Calibri" w:cs="Calibri" w:eastAsia="Calibri" w:hAnsi="Calibri"/>
          <w:b/>
          <w:bCs/>
          <w:color w:val="1F2937"/>
          <w:sz w:val="24"/>
          <w:szCs w:val="24"/>
        </w:rPr>
        <w:t xml:space="preserve">Basket 1: Core Compounders (own through the cycle)</w:t>
      </w:r>
    </w:p>
    <w:p>
      <w:pPr>
        <w:spacing w:after="60" w:before="60"/>
        <w:jc w:val="left"/>
      </w:pPr>
      <w:r>
        <w:rPr>
          <w:rFonts w:ascii="Calibri" w:cs="Calibri" w:eastAsia="Calibri" w:hAnsi="Calibri"/>
          <w:b w:val="false"/>
          <w:bCs w:val="false"/>
          <w:i w:val="false"/>
          <w:iCs w:val="false"/>
          <w:color w:val="111827"/>
          <w:sz w:val="22"/>
          <w:szCs w:val="22"/>
        </w:rPr>
        <w:t xml:space="preserve">ABB India, Siemens Energy (post-demerger), CG Power, Polycab, Cummins India, Blue Star, Power Grid Corp, L&amp;T. Already rerated, but the multi-year order-book visibility makes them defensible holdings. Frame as "earnings compounding through a structural capex cycle."</w:t>
      </w:r>
    </w:p>
    <w:p>
      <w:pPr>
        <w:pStyle w:val="Heading3"/>
        <w:spacing w:after="100" w:before="200"/>
      </w:pPr>
      <w:r>
        <w:rPr>
          <w:rFonts w:ascii="Calibri" w:cs="Calibri" w:eastAsia="Calibri" w:hAnsi="Calibri"/>
          <w:b/>
          <w:bCs/>
          <w:color w:val="1F2937"/>
          <w:sz w:val="24"/>
          <w:szCs w:val="24"/>
        </w:rPr>
        <w:t xml:space="preserve">Basket 2: Mid-rerate names (the second leg)</w:t>
      </w:r>
    </w:p>
    <w:p>
      <w:pPr>
        <w:spacing w:after="60" w:before="60"/>
        <w:jc w:val="left"/>
      </w:pPr>
      <w:r>
        <w:rPr>
          <w:rFonts w:ascii="Calibri" w:cs="Calibri" w:eastAsia="Calibri" w:hAnsi="Calibri"/>
          <w:b w:val="false"/>
          <w:bCs w:val="false"/>
          <w:i w:val="false"/>
          <w:iCs w:val="false"/>
          <w:color w:val="111827"/>
          <w:sz w:val="22"/>
          <w:szCs w:val="22"/>
        </w:rPr>
        <w:t xml:space="preserve">Hitachi Energy India, Apar Industries, KEC International, Kalpataru Projects, Persistent Systems, Coforge, Techno Electric, Anant Raj, RailTel. Have run but not exhausted — these are the names where the consensus is still upgrading earnings. Best risk-adjusted return profile.</w:t>
      </w:r>
    </w:p>
    <w:p>
      <w:pPr>
        <w:pStyle w:val="Heading3"/>
        <w:spacing w:after="100" w:before="200"/>
      </w:pPr>
      <w:r>
        <w:rPr>
          <w:rFonts w:ascii="Calibri" w:cs="Calibri" w:eastAsia="Calibri" w:hAnsi="Calibri"/>
          <w:b/>
          <w:bCs/>
          <w:color w:val="1F2937"/>
          <w:sz w:val="24"/>
          <w:szCs w:val="24"/>
        </w:rPr>
        <w:t xml:space="preserve">Basket 3: "The next Sterlite" — undiscovered optionality</w:t>
      </w:r>
    </w:p>
    <w:p>
      <w:pPr>
        <w:spacing w:after="60" w:before="60"/>
        <w:jc w:val="left"/>
      </w:pPr>
      <w:r>
        <w:rPr>
          <w:rFonts w:ascii="Calibri" w:cs="Calibri" w:eastAsia="Calibri" w:hAnsi="Calibri"/>
          <w:b w:val="false"/>
          <w:bCs w:val="false"/>
          <w:i w:val="false"/>
          <w:iCs w:val="false"/>
          <w:color w:val="111827"/>
          <w:sz w:val="22"/>
          <w:szCs w:val="22"/>
        </w:rPr>
        <w:t xml:space="preserve">Voltamp Transformers, Indo Tech Transformers, TD Power Systems, Salzer Electronics, Schneider Electric Infrastructure, Triveni Turbine, HBL Engineering, ION Exchange, VA Tech Wabag, Honeywell Automation India, Black Box, ITD Cementation, MosChip, Tata Elxsi, E2E Networks, Tanla Platforms. Higher beta, smaller cap, deeper diligence needed — but the asymmetry is here.</w:t>
      </w:r>
    </w:p>
    <w:p>
      <w:pPr>
        <w:spacing w:after="80" w:before="80"/>
      </w:pPr>
      <w:r>
        <w:rPr>
          <w:rFonts w:ascii="Calibri" w:cs="Calibri" w:eastAsia="Calibri" w:hAnsi="Calibri"/>
          <w:sz w:val="18"/>
          <w:szCs w:val="18"/>
        </w:rPr>
        <w:t xml:space="preserve"/>
      </w:r>
    </w:p>
    <w:p>
      <w:pPr>
        <w:pStyle w:val="Heading2"/>
        <w:spacing w:after="140" w:before="280"/>
      </w:pPr>
      <w:r>
        <w:rPr>
          <w:rFonts w:ascii="Calibri" w:cs="Calibri" w:eastAsia="Calibri" w:hAnsi="Calibri"/>
          <w:b/>
          <w:bCs/>
          <w:color w:val="1E40AF"/>
          <w:sz w:val="28"/>
          <w:szCs w:val="28"/>
        </w:rPr>
        <w:t xml:space="preserve">Catalysts to watch through 2026-27</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Sify Infinit IPO </w:t>
      </w:r>
      <w:r>
        <w:rPr>
          <w:rFonts w:ascii="Calibri" w:cs="Calibri" w:eastAsia="Calibri" w:hAnsi="Calibri"/>
          <w:b w:val="false"/>
          <w:bCs w:val="false"/>
          <w:i w:val="false"/>
          <w:iCs w:val="false"/>
          <w:color w:val="111827"/>
          <w:sz w:val="22"/>
          <w:szCs w:val="22"/>
        </w:rPr>
        <w:t xml:space="preserve">— the first SEBI-cleared pure-play DC listing in India. Pricing and float dynamics will set the multiple for the entire DC pure-play sub-sector.</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Nxtra (Bharti) IPO </w:t>
      </w:r>
      <w:r>
        <w:rPr>
          <w:rFonts w:ascii="Calibri" w:cs="Calibri" w:eastAsia="Calibri" w:hAnsi="Calibri"/>
          <w:b w:val="false"/>
          <w:bCs w:val="false"/>
          <w:i w:val="false"/>
          <w:iCs w:val="false"/>
          <w:color w:val="111827"/>
          <w:sz w:val="22"/>
          <w:szCs w:val="22"/>
        </w:rPr>
        <w:t xml:space="preserve">— Carlyle-backed; will create the first directly investable Indian hyperscale-grade colo at ~$3B+ valuation.</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CtrlS and Yotta IPOs </w:t>
      </w:r>
      <w:r>
        <w:rPr>
          <w:rFonts w:ascii="Calibri" w:cs="Calibri" w:eastAsia="Calibri" w:hAnsi="Calibri"/>
          <w:b w:val="false"/>
          <w:bCs w:val="false"/>
          <w:i w:val="false"/>
          <w:iCs w:val="false"/>
          <w:color w:val="111827"/>
          <w:sz w:val="22"/>
          <w:szCs w:val="22"/>
        </w:rPr>
        <w:t xml:space="preserve">— FY26-27 timeline. Watch EBITDA margin disclosure.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800V DC architecture proof points </w:t>
      </w:r>
      <w:r>
        <w:rPr>
          <w:rFonts w:ascii="Calibri" w:cs="Calibri" w:eastAsia="Calibri" w:hAnsi="Calibri"/>
          <w:b w:val="false"/>
          <w:bCs w:val="false"/>
          <w:i w:val="false"/>
          <w:iCs w:val="false"/>
          <w:color w:val="111827"/>
          <w:sz w:val="22"/>
          <w:szCs w:val="22"/>
        </w:rPr>
        <w:t xml:space="preserve">— first commercial deployment will set the equipment design-in cycle.</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India semiconductor mission commercial milestones </w:t>
      </w:r>
      <w:r>
        <w:rPr>
          <w:rFonts w:ascii="Calibri" w:cs="Calibri" w:eastAsia="Calibri" w:hAnsi="Calibri"/>
          <w:b w:val="false"/>
          <w:bCs w:val="false"/>
          <w:i w:val="false"/>
          <w:iCs w:val="false"/>
          <w:color w:val="111827"/>
          <w:sz w:val="22"/>
          <w:szCs w:val="22"/>
        </w:rPr>
        <w:t xml:space="preserve">— Tata Electronics packaging, Micron Sanand, Vedanta-Foxconn updates.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Hyperscaler India announcements </w:t>
      </w:r>
      <w:r>
        <w:rPr>
          <w:rFonts w:ascii="Calibri" w:cs="Calibri" w:eastAsia="Calibri" w:hAnsi="Calibri"/>
          <w:b w:val="false"/>
          <w:bCs w:val="false"/>
          <w:i w:val="false"/>
          <w:iCs w:val="false"/>
          <w:color w:val="111827"/>
          <w:sz w:val="22"/>
          <w:szCs w:val="22"/>
        </w:rPr>
        <w:t xml:space="preserve">— follow-on commitments beyond the AWS $8.3B and Google $15B headlines.</w:t>
      </w:r>
    </w:p>
    <w:p>
      <w:pPr>
        <w:pStyle w:val="ListParagraph"/>
        <w:numPr>
          <w:ilvl w:val="0"/>
          <w:numId w:val="2"/>
        </w:numPr>
        <w:spacing w:after="40" w:before="40"/>
      </w:pPr>
      <w:r>
        <w:rPr>
          <w:rFonts w:ascii="Calibri" w:cs="Calibri" w:eastAsia="Calibri" w:hAnsi="Calibri"/>
          <w:b/>
          <w:bCs/>
          <w:i w:val="false"/>
          <w:iCs w:val="false"/>
          <w:color w:val="111827"/>
          <w:sz w:val="22"/>
          <w:szCs w:val="22"/>
        </w:rPr>
        <w:t xml:space="preserve">Power PPA pricing for DCs </w:t>
      </w:r>
      <w:r>
        <w:rPr>
          <w:rFonts w:ascii="Calibri" w:cs="Calibri" w:eastAsia="Calibri" w:hAnsi="Calibri"/>
          <w:b w:val="false"/>
          <w:bCs w:val="false"/>
          <w:i w:val="false"/>
          <w:iCs w:val="false"/>
          <w:color w:val="111827"/>
          <w:sz w:val="22"/>
          <w:szCs w:val="22"/>
        </w:rPr>
        <w:t xml:space="preserve">— sustained ≤₹4/kWh is the gate for renewable+storage providers (Tata Power, JSW Energy, Adani Green).</w:t>
      </w:r>
    </w:p>
    <w:p>
      <w:pPr>
        <w:spacing w:after="80" w:before="80"/>
      </w:pPr>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EB" w:sz="6"/>
              <w:left w:val="single" w:color="2563EB" w:sz="18"/>
              <w:bottom w:val="single" w:color="2563EB" w:sz="6"/>
              <w:right w:val="single" w:color="2563EB" w:sz="6"/>
            </w:tcBorders>
            <w:shd w:fill="EFF6FF" w:val="clear"/>
            <w:tcMar>
              <w:top w:type="dxa" w:w="160"/>
              <w:left w:type="dxa" w:w="200"/>
              <w:bottom w:type="dxa" w:w="160"/>
              <w:right w:type="dxa" w:w="160"/>
            </w:tcMar>
          </w:tcPr>
          <w:p>
            <w:pPr>
              <w:spacing w:after="80" w:before="60"/>
            </w:pPr>
            <w:r>
              <w:rPr>
                <w:rFonts w:ascii="Calibri" w:cs="Calibri" w:eastAsia="Calibri" w:hAnsi="Calibri"/>
                <w:b/>
                <w:bCs/>
                <w:color w:val="1E3A8A"/>
                <w:sz w:val="22"/>
                <w:szCs w:val="22"/>
              </w:rPr>
              <w:t xml:space="preserve">Final framing</w:t>
            </w:r>
          </w:p>
          <w:p>
            <w:pPr>
              <w:spacing w:after="20" w:before="20"/>
            </w:pPr>
            <w:r>
              <w:rPr>
                <w:rFonts w:ascii="Calibri" w:cs="Calibri" w:eastAsia="Calibri" w:hAnsi="Calibri"/>
                <w:b w:val="false"/>
                <w:bCs w:val="false"/>
                <w:i/>
                <w:iCs/>
                <w:color w:val="111827"/>
                <w:sz w:val="20"/>
                <w:szCs w:val="20"/>
              </w:rPr>
              <w:t xml:space="preserve">The biggest mistake on this theme is the framing one — treating "AI infrastructure" as a single trade. The five-layer reframe lets you ask, for each name: which layer am I really exposed to, what was the move and what was its proximate driver, and how much of the future is already in the price? Apply that discipline name-by-name and the watchlist above largely picks itself.</w:t>
            </w:r>
          </w:p>
        </w:tc>
      </w:tr>
    </w:tbl>
    <w:p>
      <w:pPr>
        <w:spacing w:after="80" w:before="80"/>
      </w:pPr>
      <w:r>
        <w:rPr>
          <w:rFonts w:ascii="Calibri" w:cs="Calibri" w:eastAsia="Calibri" w:hAnsi="Calibri"/>
          <w:sz w:val="18"/>
          <w:szCs w:val="18"/>
        </w:rPr>
        <w:t xml:space="preserve"/>
      </w:r>
    </w:p>
    <w:p>
      <w:pPr>
        <w:spacing w:after="60" w:before="60"/>
        <w:jc w:val="center"/>
      </w:pPr>
      <w:r>
        <w:rPr>
          <w:rFonts w:ascii="Calibri" w:cs="Calibri" w:eastAsia="Calibri" w:hAnsi="Calibri"/>
          <w:b w:val="false"/>
          <w:bCs w:val="false"/>
          <w:i/>
          <w:iCs/>
          <w:color w:val="6B7280"/>
          <w:sz w:val="22"/>
          <w:szCs w:val="22"/>
        </w:rPr>
        <w:t xml:space="preserve">— END OF REPORT —</w:t>
      </w:r>
    </w:p>
    <w:p>
      <w:pPr>
        <w:spacing w:after="80" w:before="80"/>
      </w:pPr>
      <w:r>
        <w:rPr>
          <w:rFonts w:ascii="Calibri" w:cs="Calibri" w:eastAsia="Calibri" w:hAnsi="Calibri"/>
          <w:sz w:val="18"/>
          <w:szCs w:val="18"/>
        </w:rPr>
        <w:t xml:space="preserve"/>
      </w:r>
    </w:p>
    <w:p>
      <w:pPr>
        <w:spacing w:after="60" w:before="60"/>
        <w:jc w:val="left"/>
      </w:pPr>
      <w:r>
        <w:rPr>
          <w:rFonts w:ascii="Calibri" w:cs="Calibri" w:eastAsia="Calibri" w:hAnsi="Calibri"/>
          <w:b w:val="false"/>
          <w:bCs w:val="false"/>
          <w:i/>
          <w:iCs/>
          <w:color w:val="6B7280"/>
          <w:sz w:val="18"/>
          <w:szCs w:val="18"/>
        </w:rPr>
        <w:t xml:space="preserve">Sources: Company filings (SEC, BSE, NSE), management commentaries, Dell'Oro Group, JLL, ICRA, Wood Mackenzie, public investor presentations, and prior research compiled in May 2026. Stock-return ranges are approximate and directional; refresh before use. Not investment advice.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Confidential — Internal Use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Data Center Value Chain  |  US Proofs &amp; India Mirror Tiers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40A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Value Chain — 5-Layer Reframe</dc:title>
  <dc:creator>Aiko Research</dc:creator>
  <dc:description>US proofs and India mirror tiers</dc:description>
  <cp:lastModifiedBy>Un-named</cp:lastModifiedBy>
  <cp:revision>1</cp:revision>
  <dcterms:created xsi:type="dcterms:W3CDTF">2026-05-11T08:07:43.357Z</dcterms:created>
  <dcterms:modified xsi:type="dcterms:W3CDTF">2026-05-11T08:07:43.376Z</dcterms:modified>
</cp:coreProperties>
</file>

<file path=docProps/custom.xml><?xml version="1.0" encoding="utf-8"?>
<Properties xmlns="http://schemas.openxmlformats.org/officeDocument/2006/custom-properties" xmlns:vt="http://schemas.openxmlformats.org/officeDocument/2006/docPropsVTypes"/>
</file>