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2"/>
          <w:szCs w:val="52"/>
        </w:rPr>
        <w:t xml:space="preserve">DATA CENTER VALUE CHAIN</w:t>
      </w:r>
    </w:p>
    <w:p>
      <w:pPr>
        <w:spacing w:after="120"/>
        <w:jc w:val="center"/>
      </w:pPr>
      <w:r>
        <w:rPr>
          <w:rFonts w:ascii="Arial" w:cs="Arial" w:eastAsia="Arial" w:hAnsi="Arial"/>
          <w:color w:val="2E75B6"/>
          <w:sz w:val="32"/>
          <w:szCs w:val="32"/>
        </w:rPr>
        <w:t xml:space="preserve">US Market Deep Dive &amp; India Opportunity Map</w:t>
      </w:r>
    </w:p>
    <w:p>
      <w:pPr>
        <w:pBdr>
          <w:bottom w:val="single" w:color="2E75B6" w:sz="6" w:space="1"/>
        </w:pBdr>
        <w:spacing w:after="400"/>
        <w:jc w:val="center"/>
      </w:pPr>
      <w:r>
        <w:rPr>
          <w:rFonts w:ascii="Arial" w:cs="Arial" w:eastAsia="Arial" w:hAnsi="Arial"/>
          <w:i/>
          <w:iCs/>
          <w:color w:val="666666"/>
          <w:sz w:val="22"/>
          <w:szCs w:val="22"/>
        </w:rPr>
        <w:t xml:space="preserve">From Generation to GPU: Who Made Money, Who Will Make Money</w:t>
      </w:r>
    </w:p>
    <w:p>
      <w:pPr>
        <w:spacing w:before="600"/>
      </w:pPr>
    </w:p>
    <w:p>
      <w:pPr>
        <w:jc w:val="center"/>
      </w:pPr>
      <w:r>
        <w:rPr>
          <w:rFonts w:ascii="Arial" w:cs="Arial" w:eastAsia="Arial" w:hAnsi="Arial"/>
          <w:color w:val="555555"/>
          <w:sz w:val="24"/>
          <w:szCs w:val="24"/>
        </w:rPr>
        <w:t xml:space="preserve">Institutional Research Report</w:t>
      </w:r>
    </w:p>
    <w:p>
      <w:pPr>
        <w:spacing w:after="80"/>
        <w:jc w:val="center"/>
      </w:pPr>
      <w:r>
        <w:rPr>
          <w:rFonts w:ascii="Arial" w:cs="Arial" w:eastAsia="Arial" w:hAnsi="Arial"/>
          <w:color w:val="777777"/>
          <w:sz w:val="22"/>
          <w:szCs w:val="22"/>
        </w:rPr>
        <w:t xml:space="preserve">May 2026</w:t>
      </w:r>
    </w:p>
    <w:p>
      <w:pPr>
        <w:spacing w:after="80"/>
        <w:jc w:val="center"/>
      </w:pPr>
      <w:r>
        <w:rPr>
          <w:rFonts w:ascii="Arial" w:cs="Arial" w:eastAsia="Arial" w:hAnsi="Arial"/>
          <w:b/>
          <w:bCs/>
          <w:color w:val="C44444"/>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pBdr>
          <w:bottom w:val="single" w:color="2E75B6" w:sz="6" w:space="1"/>
        </w:pBdr>
        <w:spacing w:after="200" w:before="200"/>
      </w:pPr>
    </w:p>
    <w:p>
      <w:pPr>
        <w:spacing w:after="160" w:line="276"/>
      </w:pPr>
      <w:r>
        <w:rPr>
          <w:rFonts w:ascii="Arial" w:cs="Arial" w:eastAsia="Arial" w:hAnsi="Arial"/>
          <w:sz w:val="21"/>
          <w:szCs w:val="21"/>
        </w:rPr>
        <w:t xml:space="preserve">1.  Executive Summary</w:t>
      </w:r>
    </w:p>
    <w:p>
      <w:pPr>
        <w:spacing w:after="160" w:line="276"/>
      </w:pPr>
      <w:r>
        <w:rPr>
          <w:rFonts w:ascii="Arial" w:cs="Arial" w:eastAsia="Arial" w:hAnsi="Arial"/>
          <w:sz w:val="21"/>
          <w:szCs w:val="21"/>
        </w:rPr>
        <w:t xml:space="preserve">2.  The Data Center Value Chain: End-to-End Framework</w:t>
      </w:r>
    </w:p>
    <w:p>
      <w:pPr>
        <w:spacing w:after="160" w:line="276"/>
      </w:pPr>
      <w:r>
        <w:rPr>
          <w:rFonts w:ascii="Arial" w:cs="Arial" w:eastAsia="Arial" w:hAnsi="Arial"/>
          <w:sz w:val="21"/>
          <w:szCs w:val="21"/>
        </w:rPr>
        <w:t xml:space="preserve">3.  Segment-by-Segment US Analysis: Who Made the Money</w:t>
      </w:r>
    </w:p>
    <w:p>
      <w:pPr>
        <w:spacing w:after="160" w:line="276"/>
      </w:pPr>
      <w:r>
        <w:rPr>
          <w:rFonts w:ascii="Arial" w:cs="Arial" w:eastAsia="Arial" w:hAnsi="Arial"/>
          <w:sz w:val="21"/>
          <w:szCs w:val="21"/>
        </w:rPr>
        <w:t xml:space="preserve">    3A. Power Generation &amp; Grid Infrastructure</w:t>
      </w:r>
    </w:p>
    <w:p>
      <w:pPr>
        <w:spacing w:after="160" w:line="276"/>
      </w:pPr>
      <w:r>
        <w:rPr>
          <w:rFonts w:ascii="Arial" w:cs="Arial" w:eastAsia="Arial" w:hAnsi="Arial"/>
          <w:sz w:val="21"/>
          <w:szCs w:val="21"/>
        </w:rPr>
        <w:t xml:space="preserve">    3B. Electrical Equipment (Transformers, Switchgear, UPS, PDU)</w:t>
      </w:r>
    </w:p>
    <w:p>
      <w:pPr>
        <w:spacing w:after="160" w:line="276"/>
      </w:pPr>
      <w:r>
        <w:rPr>
          <w:rFonts w:ascii="Arial" w:cs="Arial" w:eastAsia="Arial" w:hAnsi="Arial"/>
          <w:sz w:val="21"/>
          <w:szCs w:val="21"/>
        </w:rPr>
        <w:t xml:space="preserve">    3C. Cooling &amp; Thermal Management</w:t>
      </w:r>
    </w:p>
    <w:p>
      <w:pPr>
        <w:spacing w:after="160" w:line="276"/>
      </w:pPr>
      <w:r>
        <w:rPr>
          <w:rFonts w:ascii="Arial" w:cs="Arial" w:eastAsia="Arial" w:hAnsi="Arial"/>
          <w:sz w:val="21"/>
          <w:szCs w:val="21"/>
        </w:rPr>
        <w:t xml:space="preserve">    3D. Computing Infrastructure (GPUs, CPUs, Networking, Memory)</w:t>
      </w:r>
    </w:p>
    <w:p>
      <w:pPr>
        <w:spacing w:after="160" w:line="276"/>
      </w:pPr>
      <w:r>
        <w:rPr>
          <w:rFonts w:ascii="Arial" w:cs="Arial" w:eastAsia="Arial" w:hAnsi="Arial"/>
          <w:sz w:val="21"/>
          <w:szCs w:val="21"/>
        </w:rPr>
        <w:t xml:space="preserve">    3E. Colocation &amp; Data Center REITs</w:t>
      </w:r>
    </w:p>
    <w:p>
      <w:pPr>
        <w:spacing w:after="160" w:line="276"/>
      </w:pPr>
      <w:r>
        <w:rPr>
          <w:rFonts w:ascii="Arial" w:cs="Arial" w:eastAsia="Arial" w:hAnsi="Arial"/>
          <w:sz w:val="21"/>
          <w:szCs w:val="21"/>
        </w:rPr>
        <w:t xml:space="preserve">    3F. Hyperscale Cloud &amp; End-Users</w:t>
      </w:r>
    </w:p>
    <w:p>
      <w:pPr>
        <w:spacing w:after="160" w:line="276"/>
      </w:pPr>
      <w:r>
        <w:rPr>
          <w:rFonts w:ascii="Arial" w:cs="Arial" w:eastAsia="Arial" w:hAnsi="Arial"/>
          <w:sz w:val="21"/>
          <w:szCs w:val="21"/>
        </w:rPr>
        <w:t xml:space="preserve">    3G. Fiber, Connectivity &amp; Subsea Cables</w:t>
      </w:r>
    </w:p>
    <w:p>
      <w:pPr>
        <w:spacing w:after="160" w:line="276"/>
      </w:pPr>
      <w:r>
        <w:rPr>
          <w:rFonts w:ascii="Arial" w:cs="Arial" w:eastAsia="Arial" w:hAnsi="Arial"/>
          <w:sz w:val="21"/>
          <w:szCs w:val="21"/>
        </w:rPr>
        <w:t xml:space="preserve">4.  Where the Tailwinds Are: Key Structural Shifts</w:t>
      </w:r>
    </w:p>
    <w:p>
      <w:pPr>
        <w:spacing w:after="160" w:line="276"/>
      </w:pPr>
      <w:r>
        <w:rPr>
          <w:rFonts w:ascii="Arial" w:cs="Arial" w:eastAsia="Arial" w:hAnsi="Arial"/>
          <w:sz w:val="21"/>
          <w:szCs w:val="21"/>
        </w:rPr>
        <w:t xml:space="preserve">5.  India Data Center Market: Current State &amp; Trajectory</w:t>
      </w:r>
    </w:p>
    <w:p>
      <w:pPr>
        <w:spacing w:after="160" w:line="276"/>
      </w:pPr>
      <w:r>
        <w:rPr>
          <w:rFonts w:ascii="Arial" w:cs="Arial" w:eastAsia="Arial" w:hAnsi="Arial"/>
          <w:sz w:val="21"/>
          <w:szCs w:val="21"/>
        </w:rPr>
        <w:t xml:space="preserve">6.  India Value Chain Mapping: Segment-by-Segment Beneficiaries</w:t>
      </w:r>
    </w:p>
    <w:p>
      <w:pPr>
        <w:spacing w:after="160" w:line="276"/>
      </w:pPr>
      <w:r>
        <w:rPr>
          <w:rFonts w:ascii="Arial" w:cs="Arial" w:eastAsia="Arial" w:hAnsi="Arial"/>
          <w:sz w:val="21"/>
          <w:szCs w:val="21"/>
        </w:rPr>
        <w:t xml:space="preserve">7.  US-to-India Mirror Framework: Listed Stock Ideas</w:t>
      </w:r>
    </w:p>
    <w:p>
      <w:pPr>
        <w:spacing w:after="160" w:line="276"/>
      </w:pPr>
      <w:r>
        <w:rPr>
          <w:rFonts w:ascii="Arial" w:cs="Arial" w:eastAsia="Arial" w:hAnsi="Arial"/>
          <w:sz w:val="21"/>
          <w:szCs w:val="21"/>
        </w:rPr>
        <w:t xml:space="preserve">8.  Risk Factors &amp; Key Watchpoints</w:t>
      </w:r>
    </w:p>
    <w:p>
      <w:pPr>
        <w:spacing w:after="160" w:line="276"/>
      </w:pPr>
      <w:r>
        <w:rPr>
          <w:rFonts w:ascii="Arial" w:cs="Arial" w:eastAsia="Arial" w:hAnsi="Arial"/>
          <w:sz w:val="21"/>
          <w:szCs w:val="21"/>
        </w:rPr>
        <w:t xml:space="preserve">9.  Conclusion &amp; Actionable Takeaways</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pBdr>
          <w:bottom w:val="single" w:color="2E75B6" w:sz="6" w:space="1"/>
        </w:pBdr>
        <w:spacing w:after="200" w:before="200"/>
      </w:pPr>
    </w:p>
    <w:p>
      <w:pPr>
        <w:spacing w:after="160" w:line="276"/>
      </w:pPr>
      <w:r>
        <w:rPr>
          <w:rFonts w:ascii="Arial" w:cs="Arial" w:eastAsia="Arial" w:hAnsi="Arial"/>
          <w:sz w:val="21"/>
          <w:szCs w:val="21"/>
        </w:rPr>
        <w:t xml:space="preserve">The global data center industry is experiencing a once-in-a-generation investment supercycle driven by AI workloads, cloud migration, and data sovereignty mandates. Hyperscaler capital expenditure is approaching $600 billion annually, with US data center capacity projected to scale from approximately 24 GW to 100 GW between 2026 and 2030. This report maps the entire data center value chain from power generation through to the end data center load, identifies which US companies have extracted the most value at each layer, and translates those learnings into an India-specific opportunity framework for buy-side idea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D0D0D0" w:sz="1"/>
              <w:right w:val="single" w:color="D0D0D0"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Key Thesis</w:t>
            </w:r>
          </w:p>
          <w:p>
            <w:pPr>
              <w:spacing w:after="0"/>
            </w:pPr>
            <w:r>
              <w:rPr>
                <w:rFonts w:ascii="Arial" w:cs="Arial" w:eastAsia="Arial" w:hAnsi="Arial"/>
                <w:i/>
                <w:iCs/>
                <w:sz w:val="19"/>
                <w:szCs w:val="19"/>
              </w:rPr>
              <w:t xml:space="preserve">In the US, the biggest value creation has occurred at two poles of the value chain: computing silicon (NVIDIA) and critical infrastructure equipment (Vertiv, Schneider Electric). In India, the opportunity is skewed toward the infrastructure and ancillary segments where domestic companies have direct addressable exposure. The colocation segment remains largely unlisted but a wave of IPOs (Sify Infinit, Yotta, CtrlS, Nxtra) is imminent, opening a new investable layer.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Global Hyperscaler CapEx (2026E)</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~$600 billion (Amazon, Microsoft, Google, Meta)</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US DC Capacity (2026 → 2030E)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24 GW → 100 GW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India DC Capacity (2025)</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~1,150 MW operational; ~4.5 GW installed base</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India DC Capacity (2031E)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~15 GW (22.8% CAGR)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India DC Market Revenue (2025)</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~$9.2 billion</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India DC Total CapEx Opportunity to 2030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 billion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NVIDIA DC Revenue (FY2025)</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$115.2 billion (+142% YoY)</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Vertiv Revenue Guidance (2026)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$13.5–14.0 billion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Equinix Revenue (2025)</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$9.2 billion (49% EBITDA margin)</w:t>
            </w:r>
          </w:p>
        </w:tc>
      </w:tr>
    </w:tbl>
    <w:p>
      <w:pPr>
        <w:spacing w:before="120"/>
      </w:pPr>
      <w:r>
        <w:rPr>
          <w:rFonts w:ascii="Arial" w:cs="Arial" w:eastAsia="Arial" w:hAnsi="Arial"/>
          <w:i/>
          <w:iCs/>
          <w:color w:val="888888"/>
          <w:sz w:val="16"/>
          <w:szCs w:val="16"/>
        </w:rPr>
        <w:t xml:space="preserve">Source: Company filings, industry reports, analyst estimates. E = estimates.</w:t>
      </w:r>
    </w:p>
    <w:p>
      <w:pPr>
        <w:sectPr>
          <w:pgSz w:w="12240" w:h="15840" w:orient="portrait"/>
          <w:pgMar w:top="1440" w:right="1440" w:bottom="1440" w:left="1440" w:header="708" w:footer="708" w:gutter="0"/>
          <w:pgNumType/>
          <w:docGrid w:linePitch="360"/>
        </w:sectPr>
      </w:pPr>
    </w:p>
    <w:p>
      <w:pPr>
        <w:pStyle w:val="Heading1"/>
      </w:pPr>
      <w:r>
        <w:t xml:space="preserve">2. The Data Center Value Chain: End-to-End Framework</w:t>
      </w:r>
    </w:p>
    <w:p>
      <w:pPr>
        <w:pBdr>
          <w:bottom w:val="single" w:color="2E75B6" w:sz="6" w:space="1"/>
        </w:pBdr>
        <w:spacing w:after="200" w:before="200"/>
      </w:pPr>
    </w:p>
    <w:p>
      <w:pPr>
        <w:spacing w:after="160" w:line="276"/>
      </w:pPr>
      <w:r>
        <w:rPr>
          <w:rFonts w:ascii="Arial" w:cs="Arial" w:eastAsia="Arial" w:hAnsi="Arial"/>
          <w:sz w:val="21"/>
          <w:szCs w:val="21"/>
        </w:rPr>
        <w:t xml:space="preserve">The data center value chain can be decomposed into seven distinct layers, each with its own competitive dynamics, margin structure, and growth drivers. Understanding these layers is critical because, as one analyst noted, lumping Eaton, Schneider, Vertiv, and NVIDIA together as “power infrastructure plays” is akin to grouping NVIDIA and Applied Materials under “semiconductor stocks.” A 765kV substation transformer and a sub-1V GPU voltage regulator module share the word “power” but are fundamentally different businesses.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100"/>
        <w:gridCol w:w="36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Covers</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US Players</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Power Generation</w:t>
            </w:r>
          </w:p>
        </w:tc>
        <w:tc>
          <w:tcPr>
            <w:tcW w:type="dxa" w:w="31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Gas turbines, nuclear (SMRs), renewables, fuel cells, on-site generation</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GE Vernova, NextEra Energy, Vistra, Constellation, Bloom Energy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Transmission &amp; Grid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High-voltage transformers, substations, transmission lines, grid interconnection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 Vernova, Quanta Services, MYR Group, Eaton</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Electrical Equipment</w:t>
            </w:r>
          </w:p>
        </w:tc>
        <w:tc>
          <w:tcPr>
            <w:tcW w:type="dxa" w:w="31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Medium-voltage switchgear, UPS, PDUs, busway, backup generators, power distribution</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Schneider Electric, Vertiv, Eaton, ABB, Powell Industries, Legrand, Cummins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Cooling &amp; Thermal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Chillers, CRAH/CRAC, liquid cooling (direct-to-chip, immersion), cooling towers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Vertiv, Schneider, Johnson Controls, Carrier, CoolIT, Submer</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Computing Infrastructure</w:t>
            </w:r>
          </w:p>
        </w:tc>
        <w:tc>
          <w:tcPr>
            <w:tcW w:type="dxa" w:w="31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GPUs, CPUs, custom ASICs (XPUs), memory (HBM), networking switches, NICs, optics</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NVIDIA, AMD, Broadcom, Marvell, Intel, Arista, Cisco, Micron, SK Hynix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Data Center Operators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Colocation (retail &amp; wholesale), hyperscale self-builds, data center REITs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Equinix, Digital Realty, CyrusOne, QTS, Vantage, Aligned, CoreWeave</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Connectivity &amp; Fiber</w:t>
            </w:r>
          </w:p>
        </w:tc>
        <w:tc>
          <w:tcPr>
            <w:tcW w:type="dxa" w:w="31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Dark fiber, subsea cables, optical transport, interconnection, CDN</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Lumen, Zayo, SubCom, Ciena, Corning, Uniti Group</w:t>
            </w:r>
          </w:p>
        </w:tc>
      </w:tr>
    </w:tbl>
    <w:p>
      <w:pPr>
        <w:spacing w:before="240"/>
      </w:pPr>
    </w:p>
    <w:p>
      <w:pPr>
        <w:spacing w:after="160" w:line="276"/>
      </w:pPr>
      <w:r>
        <w:rPr>
          <w:rFonts w:ascii="Arial" w:cs="Arial" w:eastAsia="Arial" w:hAnsi="Arial"/>
          <w:sz w:val="21"/>
          <w:szCs w:val="21"/>
        </w:rPr>
        <w:t xml:space="preserve">Crucially, AI has fundamentally altered the power envelope of data centers. Traditional rack densities of 20–30 kW have given way to AI clusters routinely designed for 100 kW or more per rack, with leading-edge deployments already testing 150–220 kW. This has cascading effects across every layer of the value chain, from generation to cooling.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D0D0D0" w:sz="1"/>
              <w:right w:val="single" w:color="D0D0D0"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Structural Shift</w:t>
            </w:r>
          </w:p>
          <w:p>
            <w:pPr>
              <w:spacing w:after="0"/>
            </w:pPr>
            <w:r>
              <w:rPr>
                <w:rFonts w:ascii="Arial" w:cs="Arial" w:eastAsia="Arial" w:hAnsi="Arial"/>
                <w:i/>
                <w:iCs/>
                <w:sz w:val="19"/>
                <w:szCs w:val="19"/>
              </w:rPr>
              <w:t xml:space="preserve">The 800V DC power architecture, first introduced by NVIDIA at GTC 2025, has the potential to reshape the entire electrical distribution layer inside data centers. Equipment companies (ABB, Schneider, Vertiv, Eaton) and power semiconductor companies (Infineon, STMicro, Navitas) are positioning for this transition. If 800V DC gains traction, it becomes the intersection where equipment companies and power semiconductor companies meet.</w:t>
            </w:r>
          </w:p>
        </w:tc>
      </w:tr>
    </w:tbl>
    <w:p>
      <w:pPr>
        <w:sectPr>
          <w:pgSz w:w="12240" w:h="15840" w:orient="portrait"/>
          <w:pgMar w:top="1440" w:right="1440" w:bottom="1440" w:left="1440" w:header="708" w:footer="708" w:gutter="0"/>
          <w:pgNumType/>
          <w:docGrid w:linePitch="360"/>
        </w:sectPr>
      </w:pPr>
    </w:p>
    <w:p>
      <w:pPr>
        <w:pStyle w:val="Heading1"/>
      </w:pPr>
      <w:r>
        <w:t xml:space="preserve">3. Segment-by-Segment US Analysis: Who Made the Money</w:t>
      </w:r>
    </w:p>
    <w:p>
      <w:pPr>
        <w:pBdr>
          <w:bottom w:val="single" w:color="2E75B6" w:sz="6" w:space="1"/>
        </w:pBdr>
        <w:spacing w:after="200" w:before="200"/>
      </w:pPr>
    </w:p>
    <w:p>
      <w:pPr>
        <w:pStyle w:val="Heading2"/>
      </w:pPr>
      <w:r>
        <w:t xml:space="preserve">3A. Power Generation &amp; Grid Infrastructure</w:t>
      </w:r>
    </w:p>
    <w:p>
      <w:pPr>
        <w:spacing w:after="160" w:line="276"/>
      </w:pPr>
      <w:r>
        <w:rPr>
          <w:rFonts w:ascii="Arial" w:cs="Arial" w:eastAsia="Arial" w:hAnsi="Arial"/>
          <w:sz w:val="21"/>
          <w:szCs w:val="21"/>
        </w:rPr>
        <w:t xml:space="preserve">Power is the single biggest bottleneck in the AI data center buildout. US data centers are projected to account for roughly 68% of total US load growth through 2030. The traditional model of generation, transmission, and distribution is under strain, with interconnection queue delays stretching to 4–7 years. This has sparked intense interest in “bring your own power” (BYOP) models, where data center operators develop or contract for on-site generation capacity.</w:t>
      </w:r>
    </w:p>
    <w:p>
      <w:pPr>
        <w:spacing w:after="160" w:line="276"/>
      </w:pPr>
      <w:r>
        <w:rPr>
          <w:rFonts w:ascii="Arial" w:cs="Arial" w:eastAsia="Arial" w:hAnsi="Arial"/>
          <w:b/>
          <w:bCs/>
          <w:sz w:val="21"/>
          <w:szCs w:val="21"/>
        </w:rPr>
        <w:t xml:space="preserve">Key winners: </w:t>
      </w:r>
      <w:r>
        <w:rPr>
          <w:rFonts w:ascii="Arial" w:cs="Arial" w:eastAsia="Arial" w:hAnsi="Arial"/>
          <w:sz w:val="21"/>
          <w:szCs w:val="21"/>
        </w:rPr>
        <w:t xml:space="preserve">GE Vernova is the standout full-stack player spanning generation (gas turbines), grid (transformers and switchgear), and the emerging 800V DC architecture. Q1 2026 data center electrification orders hit $2.4 billion, already exceeding full-year 2025. Company-wide backlog stands at $163 billion. NextEra Energy and Constellation Energy have benefited from long-term power purchase agreements with hyperscalers. Bloom Energy’s solid oxide fuel cells offer an alternative that bypasses grid interconnection bottlenecks entirely.</w:t>
      </w:r>
    </w:p>
    <w:p>
      <w:pPr>
        <w:spacing w:after="160" w:line="276"/>
      </w:pPr>
      <w:r>
        <w:rPr>
          <w:rFonts w:ascii="Arial" w:cs="Arial" w:eastAsia="Arial" w:hAnsi="Arial"/>
          <w:b/>
          <w:bCs/>
          <w:sz w:val="21"/>
          <w:szCs w:val="21"/>
        </w:rPr>
        <w:t xml:space="preserve">Margin profile: </w:t>
      </w:r>
      <w:r>
        <w:rPr>
          <w:rFonts w:ascii="Arial" w:cs="Arial" w:eastAsia="Arial" w:hAnsi="Arial"/>
          <w:sz w:val="21"/>
          <w:szCs w:val="21"/>
        </w:rPr>
        <w:t xml:space="preserve">Independent power producers typically earn 15–25% EBITDA margins, but those securing dedicated data center PPAs at premium rates are seeing margin expansion. The real constraint is equipment supply: transformer lead times have stretched from ~140 weeks in 2023 to over 160 weeks in 2026, and switchgear demand is expected to rise from about 1,500 units annually to more than 9,000 by decade-end.</w:t>
      </w:r>
    </w:p>
    <w:p>
      <w:pPr>
        <w:pBdr>
          <w:bottom w:val="single" w:color="2E75B6" w:sz="6" w:space="1"/>
        </w:pBdr>
        <w:spacing w:after="200" w:before="200"/>
      </w:pPr>
    </w:p>
    <w:p>
      <w:pPr>
        <w:pStyle w:val="Heading2"/>
      </w:pPr>
      <w:r>
        <w:t xml:space="preserve">3B. Electrical Equipment (Transformers, Switchgear, UPS, PDU)</w:t>
      </w:r>
    </w:p>
    <w:p>
      <w:pPr>
        <w:spacing w:after="160" w:line="276"/>
      </w:pPr>
      <w:r>
        <w:rPr>
          <w:rFonts w:ascii="Arial" w:cs="Arial" w:eastAsia="Arial" w:hAnsi="Arial"/>
          <w:sz w:val="21"/>
          <w:szCs w:val="21"/>
        </w:rPr>
        <w:t xml:space="preserve">This is arguably the segment where the most consistent value creation is happening right now outside of silicon. The data center physical infrastructure (DCPI) market grew 17–18% year-over-year through recent quarters, with power distribution being the fastest-growing sub-segment (busway systems expanding over 40% YoY). Direct liquid cooling revenue more than doubled in recent quarters.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4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Company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Revenue / Guidance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Backlog</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Margin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Moat / Edge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Schneider Electric</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FY2025: €40B; DC segment leading growth at ~11% organic</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€25.4B backlog</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~21.8% adj. EBITDA (Energy Mgmt)</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Design lock-in via EcoStruxure platform; end-to-end from grid to rack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Vertiv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2026E: $13.5–14.0B; Q1 2026 rev $2.65B (+30% YoY)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~$9.5B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~22% adj. op. margin; targeting 25% by 2029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Only large player covering both power (UPS/PDU) and cooling; fast delivery advantage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Eaton</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Electrical segment growing double-digits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Multi-year order books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~23% segment margins</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MV switchgear, UPS, SmartRack; strong in 800V DC positioning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Powell Industries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Niche MV switchgear specialist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$1.8B backlog; $400M+ DC mega-order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High margins on specialty products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Datacenter MV switchgear (5–38kV); specs locked in at design stage</w:t>
            </w:r>
          </w:p>
        </w:tc>
      </w:tr>
    </w:tbl>
    <w:p>
      <w:pPr>
        <w:spacing w:before="160"/>
      </w:pPr>
    </w:p>
    <w:p>
      <w:pPr>
        <w:spacing w:after="160" w:line="276"/>
      </w:pPr>
      <w:r>
        <w:rPr>
          <w:rFonts w:ascii="Arial" w:cs="Arial" w:eastAsia="Arial" w:hAnsi="Arial"/>
          <w:b/>
          <w:bCs/>
          <w:sz w:val="21"/>
          <w:szCs w:val="21"/>
        </w:rPr>
        <w:t xml:space="preserve">Key insight: </w:t>
      </w:r>
      <w:r>
        <w:rPr>
          <w:rFonts w:ascii="Arial" w:cs="Arial" w:eastAsia="Arial" w:hAnsi="Arial"/>
          <w:sz w:val="21"/>
          <w:szCs w:val="21"/>
        </w:rPr>
        <w:t xml:space="preserve">Schneider and Vertiv are virtually tied for global DCPI market share. Specifications are locked in at the data center design stage, making switching vendors after selection extremely difficult. This creates a sticky, annuity-like revenue stream. The global data center power market is expected to grow from $35 billion in 2025 to $50.5 billion by 2030 at a 7.5% CAGR, with the top five players holding approximately 41–43% market share.</w:t>
      </w:r>
    </w:p>
    <w:p>
      <w:pPr>
        <w:pBdr>
          <w:bottom w:val="single" w:color="2E75B6" w:sz="6" w:space="1"/>
        </w:pBdr>
        <w:spacing w:after="200" w:before="200"/>
      </w:pPr>
    </w:p>
    <w:p>
      <w:pPr>
        <w:pStyle w:val="Heading2"/>
      </w:pPr>
      <w:r>
        <w:t xml:space="preserve">3C. Cooling &amp; Thermal Management</w:t>
      </w:r>
    </w:p>
    <w:p>
      <w:pPr>
        <w:spacing w:after="160" w:line="276"/>
      </w:pPr>
      <w:r>
        <w:rPr>
          <w:rFonts w:ascii="Arial" w:cs="Arial" w:eastAsia="Arial" w:hAnsi="Arial"/>
          <w:sz w:val="21"/>
          <w:szCs w:val="21"/>
        </w:rPr>
        <w:t xml:space="preserve">AI chips generate 3–5x the heat density of traditional servers, driving a rapid shift from air cooling to direct liquid cooling. 2025 funding for liquid cooling companies surged nearly 5x year-over-year to $546 million. Cooling accounts for 40–50% of a data center’s total power consumption, making it a massive operational cost driver and therefore a critical area for innovation.</w:t>
      </w:r>
    </w:p>
    <w:p>
      <w:pPr>
        <w:spacing w:after="160" w:line="276"/>
      </w:pPr>
      <w:r>
        <w:rPr>
          <w:rFonts w:ascii="Arial" w:cs="Arial" w:eastAsia="Arial" w:hAnsi="Arial"/>
          <w:b/>
          <w:bCs/>
          <w:sz w:val="21"/>
          <w:szCs w:val="21"/>
        </w:rPr>
        <w:t xml:space="preserve">Key winners: </w:t>
      </w:r>
      <w:r>
        <w:rPr>
          <w:rFonts w:ascii="Arial" w:cs="Arial" w:eastAsia="Arial" w:hAnsi="Arial"/>
          <w:sz w:val="21"/>
          <w:szCs w:val="21"/>
        </w:rPr>
        <w:t xml:space="preserve">Vertiv is uniquely positioned as the only large company covering both power and cooling. Submer (private), a liquid cooling specialist, saw revenues jump 76% YoY to $156M in 2024. Among public companies, Johnson Controls acquired Silent-Aire and is scaling liquid cooling capacity. Schneider Electric acquired Motivair to bolster its liquid cooling portfolio. CoolIT Systems is gaining traction in direct-to-chip solutions.</w:t>
      </w:r>
    </w:p>
    <w:p>
      <w:pPr>
        <w:spacing w:after="160" w:line="276"/>
      </w:pPr>
      <w:r>
        <w:rPr>
          <w:rFonts w:ascii="Arial" w:cs="Arial" w:eastAsia="Arial" w:hAnsi="Arial"/>
          <w:b/>
          <w:bCs/>
          <w:sz w:val="21"/>
          <w:szCs w:val="21"/>
        </w:rPr>
        <w:t xml:space="preserve">Market sizing: </w:t>
      </w:r>
      <w:r>
        <w:rPr>
          <w:rFonts w:ascii="Arial" w:cs="Arial" w:eastAsia="Arial" w:hAnsi="Arial"/>
          <w:sz w:val="21"/>
          <w:szCs w:val="21"/>
        </w:rPr>
        <w:t xml:space="preserve">The global data center cooling market is growing at 13%+ CAGR. Asia-Pacific demand is increasing at 18.4% CAGR. The colocation segment alone requires an estimated $12 billion in cooling investment to handle rising rack densities averaging 10–15 kW, with AI racks pushing to 40–50 kW and beyond.</w:t>
      </w:r>
    </w:p>
    <w:p>
      <w:pPr>
        <w:pBdr>
          <w:bottom w:val="single" w:color="2E75B6" w:sz="6" w:space="1"/>
        </w:pBdr>
        <w:spacing w:after="200" w:before="200"/>
      </w:pPr>
    </w:p>
    <w:p>
      <w:pPr>
        <w:pStyle w:val="Heading2"/>
      </w:pPr>
      <w:r>
        <w:t xml:space="preserve">3D. Computing Infrastructure (GPUs, CPUs, Networking, Memory)</w:t>
      </w:r>
    </w:p>
    <w:p>
      <w:pPr>
        <w:spacing w:after="160" w:line="276"/>
      </w:pPr>
      <w:r>
        <w:rPr>
          <w:rFonts w:ascii="Arial" w:cs="Arial" w:eastAsia="Arial" w:hAnsi="Arial"/>
          <w:sz w:val="21"/>
          <w:szCs w:val="21"/>
        </w:rPr>
        <w:t xml:space="preserve">This layer has generated the single largest quantum of value in the data center value chain, dominated overwhelmingly by NVIDIA.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Company</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DC Revenue / AI Revenue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 Position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Outlook</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NVIDIA</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FY2025 DC revenue: $115.2B (+142% YoY); FY2027E: ~$220B</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~90–95% GPU market share; CUDA ecosystem lock-in</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Blackwell ramp; 800V DC architecture push; NVLink 130 TB/s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Broadcom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Q3 FY2025 AI revenue: $5.2B (+63% YoY); Q4E: $6.2B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 XPU/custom ASIC share; Google TPU co-design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 silicon growing as hyperscalers diversify; 3nm XPUs shipping H2 2025</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AMD</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~5% GPU share; MI300X gaining traction</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Primary GPU alternative to NVIDIA</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Cost-competitive for inference workloads; hyperscaler adoption growing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Arista Networks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Leading DC networking switches and 400G/800G Ethernet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Dominant in cloud-tier networking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cluster networking (Spectrum-X competitor); campus fabric for GPU clusters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Marvell</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Custom ASICs and optical interconnects; ~$55B TAM for custom silicon</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~15% XPU share; ASIC business roughly doubled</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Optical interconnect and custom compute for hyperscalers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D0D0D0" w:sz="1"/>
              <w:right w:val="single" w:color="D0D0D0"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Investment Insight</w:t>
            </w:r>
          </w:p>
          <w:p>
            <w:pPr>
              <w:spacing w:after="0"/>
            </w:pPr>
            <w:r>
              <w:rPr>
                <w:rFonts w:ascii="Arial" w:cs="Arial" w:eastAsia="Arial" w:hAnsi="Arial"/>
                <w:i/>
                <w:iCs/>
                <w:sz w:val="19"/>
                <w:szCs w:val="19"/>
              </w:rPr>
              <w:t xml:space="preserve">While NVIDIA dominates today at 90%+ GPU share, custom ASICs from Broadcom and Marvell offer 40–65% TCO advantages at scale. NVIDIA’s share is projected to decline from 86% to ~75% by 2026 as custom silicon scales. The data center semiconductor market is projected to exceed $500 billion by 2029.</w:t>
            </w:r>
          </w:p>
        </w:tc>
      </w:tr>
    </w:tbl>
    <w:p>
      <w:pPr>
        <w:pBdr>
          <w:bottom w:val="single" w:color="2E75B6" w:sz="6" w:space="1"/>
        </w:pBdr>
        <w:spacing w:after="200" w:before="200"/>
      </w:pPr>
    </w:p>
    <w:p>
      <w:pPr>
        <w:pStyle w:val="Heading2"/>
      </w:pPr>
      <w:r>
        <w:t xml:space="preserve">3E. Colocation &amp; Data Center REITs</w:t>
      </w:r>
    </w:p>
    <w:p>
      <w:pPr>
        <w:spacing w:after="160" w:line="276"/>
      </w:pPr>
      <w:r>
        <w:rPr>
          <w:rFonts w:ascii="Arial" w:cs="Arial" w:eastAsia="Arial" w:hAnsi="Arial"/>
          <w:sz w:val="21"/>
          <w:szCs w:val="21"/>
        </w:rPr>
        <w:t xml:space="preserve">The colocation market represents the “real estate” layer of the value chain, and it has delivered remarkably consistent returns. The sector operates at approximately 99% occupancy, with 92% of capacity under construction already pre-committed. Over 35 GW of capacity is under construction in North America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400"/>
        <w:gridCol w:w="15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2025 Revenue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EBITDA / Margin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2026E Revenue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Model</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Differentiation</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Equinix</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$9.2B</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$4.5B / 49% margin</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$10.1–10.2B</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Retail colo + interconnection</w:t>
            </w:r>
          </w:p>
        </w:tc>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260+ DCs in 70+ metros; interconnection moat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Digital Realty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$6.1B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$3.3B / ~55% margin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$6.6–6.7B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Wholesale + hyperscale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300+ DCs; PlatformDigital; AI-ready leases</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Iron Mountain</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DC: $416M (fast-growing)</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DC EBITDA: $121M/qtr</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Strong growth trajectory</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Hybrid (records + DC)</w:t>
            </w:r>
          </w:p>
        </w:tc>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Expanding DC via acquisitions (Web Werks India)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American Tower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Mid-to-high single-digit growth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Double-digit AFFO growth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Continued growth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Towers + DC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Hybrid cloud demand; AI workloads driving DC leasing</w:t>
            </w:r>
          </w:p>
        </w:tc>
      </w:tr>
    </w:tbl>
    <w:p>
      <w:pPr>
        <w:spacing w:before="160"/>
      </w:pPr>
    </w:p>
    <w:p>
      <w:pPr>
        <w:spacing w:after="160" w:line="276"/>
      </w:pPr>
      <w:r>
        <w:rPr>
          <w:rFonts w:ascii="Arial" w:cs="Arial" w:eastAsia="Arial" w:hAnsi="Arial"/>
          <w:b/>
          <w:bCs/>
          <w:sz w:val="21"/>
          <w:szCs w:val="21"/>
        </w:rPr>
        <w:t xml:space="preserve">Key insight: </w:t>
      </w:r>
      <w:r>
        <w:rPr>
          <w:rFonts w:ascii="Arial" w:cs="Arial" w:eastAsia="Arial" w:hAnsi="Arial"/>
          <w:sz w:val="21"/>
          <w:szCs w:val="21"/>
        </w:rPr>
        <w:t xml:space="preserve">Equinix’s moat is interconnection, not just real estate. Its dense network ecosystems (thousands of networks and clouds physically interconnecting) allow premium pricing. Interconnection itself is a profit center with higher margins than space rental. Retail colocation resembles a high-margin multi-tenant building, while wholesale is longer-duration, lower unit-margin but highly predictable.</w:t>
      </w:r>
    </w:p>
    <w:p>
      <w:pPr>
        <w:pBdr>
          <w:bottom w:val="single" w:color="2E75B6" w:sz="6" w:space="1"/>
        </w:pBdr>
        <w:spacing w:after="200" w:before="200"/>
      </w:pPr>
    </w:p>
    <w:p>
      <w:pPr>
        <w:pStyle w:val="Heading2"/>
      </w:pPr>
      <w:r>
        <w:t xml:space="preserve">3F. Hyperscale Cloud &amp; End-Users</w:t>
      </w:r>
    </w:p>
    <w:p>
      <w:pPr>
        <w:spacing w:after="160" w:line="276"/>
      </w:pPr>
      <w:r>
        <w:rPr>
          <w:rFonts w:ascii="Arial" w:cs="Arial" w:eastAsia="Arial" w:hAnsi="Arial"/>
          <w:sz w:val="21"/>
          <w:szCs w:val="21"/>
        </w:rPr>
        <w:t xml:space="preserve">The four largest hyperscalers – Amazon, Microsoft, Google, and Meta – are collectively approaching $600 billion in annual capital expenditure for 2026, with each trending toward $100 billion annually. These companies are both the demand drivers for the entire value chain and increasingly becoming vertically integrated players, building their own data centers, designing custom chips (Google TPU, Amazon Trainium, Microsoft Maia, Meta MTIA), and securing dedicated power sources.</w:t>
      </w:r>
    </w:p>
    <w:p>
      <w:pPr>
        <w:spacing w:after="160" w:line="276"/>
      </w:pPr>
      <w:r>
        <w:rPr>
          <w:rFonts w:ascii="Arial" w:cs="Arial" w:eastAsia="Arial" w:hAnsi="Arial"/>
          <w:b/>
          <w:bCs/>
          <w:sz w:val="21"/>
          <w:szCs w:val="21"/>
        </w:rPr>
        <w:t xml:space="preserve">India-specific: </w:t>
      </w:r>
      <w:r>
        <w:rPr>
          <w:rFonts w:ascii="Arial" w:cs="Arial" w:eastAsia="Arial" w:hAnsi="Arial"/>
          <w:sz w:val="21"/>
          <w:szCs w:val="21"/>
        </w:rPr>
        <w:t xml:space="preserve">AWS has committed $8.3 billion in Maharashtra by 2030. Google confirmed a $15 billion investment in Andhra Pradesh. Microsoft expanded its Hyderabad region by 50 MW in January 2026. These commitments create a reliable demand floor for the Indian ancillary ecosystem.</w:t>
      </w:r>
    </w:p>
    <w:p>
      <w:pPr>
        <w:pBdr>
          <w:bottom w:val="single" w:color="2E75B6" w:sz="6" w:space="1"/>
        </w:pBdr>
        <w:spacing w:after="200" w:before="200"/>
      </w:pPr>
    </w:p>
    <w:p>
      <w:pPr>
        <w:pStyle w:val="Heading2"/>
      </w:pPr>
      <w:r>
        <w:t xml:space="preserve">3G. Fiber, Connectivity &amp; Subsea Cables</w:t>
      </w:r>
    </w:p>
    <w:p>
      <w:pPr>
        <w:spacing w:after="160" w:line="276"/>
      </w:pPr>
      <w:r>
        <w:rPr>
          <w:rFonts w:ascii="Arial" w:cs="Arial" w:eastAsia="Arial" w:hAnsi="Arial"/>
          <w:sz w:val="21"/>
          <w:szCs w:val="21"/>
        </w:rPr>
        <w:t xml:space="preserve">Connectivity is the circulatory system of the data center ecosystem. Subsea cable capacity is expanding rapidly, with SEA-ME-WE-6 delivering 220 Tbps that trims India-Europe latency to 85 ms and India-Singapore to 22 ms. The India-Asia-Xpress cable will inject another 200 Tbps in 2026. In the US, companies like Corning (fiber optic cable), Ciena (optical networking), and Lumen Technologies (dark fiber infrastructure) have benefited from massive buildout demand.</w:t>
      </w:r>
    </w:p>
    <w:p>
      <w:pPr>
        <w:sectPr>
          <w:pgSz w:w="12240" w:h="15840" w:orient="portrait"/>
          <w:pgMar w:top="1440" w:right="1440" w:bottom="1440" w:left="1440" w:header="708" w:footer="708" w:gutter="0"/>
          <w:pgNumType/>
          <w:docGrid w:linePitch="360"/>
        </w:sectPr>
      </w:pPr>
    </w:p>
    <w:p>
      <w:pPr>
        <w:pStyle w:val="Heading1"/>
      </w:pPr>
      <w:r>
        <w:t xml:space="preserve">4. Where the Tailwinds Are: Key Structural Shifts</w:t>
      </w:r>
    </w:p>
    <w:p>
      <w:pPr>
        <w:pBdr>
          <w:bottom w:val="single" w:color="2E75B6" w:sz="6" w:space="1"/>
        </w:pBdr>
        <w:spacing w:after="200" w:before="200"/>
      </w:pPr>
    </w:p>
    <w:p>
      <w:pPr>
        <w:pStyle w:val="ListParagraph"/>
        <w:numPr>
          <w:ilvl w:val="0"/>
          <w:numId w:val="2"/>
        </w:numPr>
        <w:spacing w:after="80" w:line="276"/>
      </w:pPr>
      <w:r>
        <w:rPr>
          <w:rFonts w:ascii="Arial" w:cs="Arial" w:eastAsia="Arial" w:hAnsi="Arial"/>
          <w:b/>
          <w:bCs/>
          <w:sz w:val="21"/>
          <w:szCs w:val="21"/>
        </w:rPr>
        <w:t xml:space="preserve">AI Power Density Revolution: </w:t>
      </w:r>
      <w:r>
        <w:rPr>
          <w:rFonts w:ascii="Arial" w:cs="Arial" w:eastAsia="Arial" w:hAnsi="Arial"/>
          <w:sz w:val="21"/>
          <w:szCs w:val="21"/>
        </w:rPr>
        <w:t xml:space="preserve">Rack densities moving from 8–15 kW to 40–100+ kW. Every incremental kW per rack cascades into higher demand for transformers, switchgear, UPS, PDUs, cooling, and backup power. This is the single biggest demand multiplier across the value chain.</w:t>
      </w:r>
    </w:p>
    <w:p>
      <w:pPr>
        <w:pStyle w:val="ListParagraph"/>
        <w:numPr>
          <w:ilvl w:val="0"/>
          <w:numId w:val="2"/>
        </w:numPr>
        <w:spacing w:after="80" w:line="276"/>
      </w:pPr>
      <w:r>
        <w:rPr>
          <w:rFonts w:ascii="Arial" w:cs="Arial" w:eastAsia="Arial" w:hAnsi="Arial"/>
          <w:b/>
          <w:bCs/>
          <w:sz w:val="21"/>
          <w:szCs w:val="21"/>
        </w:rPr>
        <w:t xml:space="preserve">800V DC Architecture Transition: </w:t>
      </w:r>
      <w:r>
        <w:rPr>
          <w:rFonts w:ascii="Arial" w:cs="Arial" w:eastAsia="Arial" w:hAnsi="Arial"/>
          <w:sz w:val="21"/>
          <w:szCs w:val="21"/>
        </w:rPr>
        <w:t xml:space="preserve">NVIDIA’s push for 800V DC distribution inside data centers eliminates multiple AC-to-DC conversion stages, improving efficiency and reducing copper usage. This creates a new product cycle for equipment makers and power semiconductor companies.</w:t>
      </w:r>
    </w:p>
    <w:p>
      <w:pPr>
        <w:pStyle w:val="ListParagraph"/>
        <w:numPr>
          <w:ilvl w:val="0"/>
          <w:numId w:val="2"/>
        </w:numPr>
        <w:spacing w:after="80" w:line="276"/>
      </w:pPr>
      <w:r>
        <w:rPr>
          <w:rFonts w:ascii="Arial" w:cs="Arial" w:eastAsia="Arial" w:hAnsi="Arial"/>
          <w:b/>
          <w:bCs/>
          <w:sz w:val="21"/>
          <w:szCs w:val="21"/>
        </w:rPr>
        <w:t xml:space="preserve">Liquid Cooling Becoming Standard: </w:t>
      </w:r>
      <w:r>
        <w:rPr>
          <w:rFonts w:ascii="Arial" w:cs="Arial" w:eastAsia="Arial" w:hAnsi="Arial"/>
          <w:sz w:val="21"/>
          <w:szCs w:val="21"/>
        </w:rPr>
        <w:t xml:space="preserve">Air cooling is hitting physical limits at high rack densities. Direct-to-chip and immersion cooling are becoming the go-to thermal solution for AI deployments. This is a multi-billion-dollar incremental market that barely existed five years ago.</w:t>
      </w:r>
    </w:p>
    <w:p>
      <w:pPr>
        <w:pStyle w:val="ListParagraph"/>
        <w:numPr>
          <w:ilvl w:val="0"/>
          <w:numId w:val="2"/>
        </w:numPr>
        <w:spacing w:after="80" w:line="276"/>
      </w:pPr>
      <w:r>
        <w:rPr>
          <w:rFonts w:ascii="Arial" w:cs="Arial" w:eastAsia="Arial" w:hAnsi="Arial"/>
          <w:b/>
          <w:bCs/>
          <w:sz w:val="21"/>
          <w:szCs w:val="21"/>
        </w:rPr>
        <w:t xml:space="preserve">Bring Your Own Power (BYOP): </w:t>
      </w:r>
      <w:r>
        <w:rPr>
          <w:rFonts w:ascii="Arial" w:cs="Arial" w:eastAsia="Arial" w:hAnsi="Arial"/>
          <w:sz w:val="21"/>
          <w:szCs w:val="21"/>
        </w:rPr>
        <w:t xml:space="preserve">Grid interconnection delays of 4–7 years are forcing data center operators to secure dedicated generation sources. This benefits modular nuclear (SMRs), fuel cells (Bloom Energy), and on-site renewable + storage solutions.</w:t>
      </w:r>
    </w:p>
    <w:p>
      <w:pPr>
        <w:pStyle w:val="ListParagraph"/>
        <w:numPr>
          <w:ilvl w:val="0"/>
          <w:numId w:val="2"/>
        </w:numPr>
        <w:spacing w:after="80" w:line="276"/>
      </w:pPr>
      <w:r>
        <w:rPr>
          <w:rFonts w:ascii="Arial" w:cs="Arial" w:eastAsia="Arial" w:hAnsi="Arial"/>
          <w:b/>
          <w:bCs/>
          <w:sz w:val="21"/>
          <w:szCs w:val="21"/>
        </w:rPr>
        <w:t xml:space="preserve">Equipment Supply Shortage: </w:t>
      </w:r>
      <w:r>
        <w:rPr>
          <w:rFonts w:ascii="Arial" w:cs="Arial" w:eastAsia="Arial" w:hAnsi="Arial"/>
          <w:sz w:val="21"/>
          <w:szCs w:val="21"/>
        </w:rPr>
        <w:t xml:space="preserve">Transformer lead times at 160+ weeks. Switchgear demand rising from 1,500 to 9,000 units/year by 2030. This creates sustained pricing power for equipment manufacturers and favors companies with manufacturing capacity expansion underway.</w:t>
      </w:r>
    </w:p>
    <w:p>
      <w:pPr>
        <w:pStyle w:val="ListParagraph"/>
        <w:numPr>
          <w:ilvl w:val="0"/>
          <w:numId w:val="2"/>
        </w:numPr>
        <w:spacing w:after="80" w:line="276"/>
      </w:pPr>
      <w:r>
        <w:rPr>
          <w:rFonts w:ascii="Arial" w:cs="Arial" w:eastAsia="Arial" w:hAnsi="Arial"/>
          <w:b/>
          <w:bCs/>
          <w:sz w:val="21"/>
          <w:szCs w:val="21"/>
        </w:rPr>
        <w:t xml:space="preserve">Custom Silicon Diversification: </w:t>
      </w:r>
      <w:r>
        <w:rPr>
          <w:rFonts w:ascii="Arial" w:cs="Arial" w:eastAsia="Arial" w:hAnsi="Arial"/>
          <w:sz w:val="21"/>
          <w:szCs w:val="21"/>
        </w:rPr>
        <w:t xml:space="preserve">Hyperscalers designing custom ASICs with 40–65% TCO advantages over GPUs. This creates opportunity for ASIC design houses (Broadcom, Marvell) and foundries (TSMC) while gradually pressuring NVIDIA’s monopoly pricing.</w:t>
      </w:r>
    </w:p>
    <w:p>
      <w:pPr>
        <w:pStyle w:val="ListParagraph"/>
        <w:numPr>
          <w:ilvl w:val="0"/>
          <w:numId w:val="2"/>
        </w:numPr>
        <w:spacing w:after="80" w:line="276"/>
      </w:pPr>
      <w:r>
        <w:rPr>
          <w:rFonts w:ascii="Arial" w:cs="Arial" w:eastAsia="Arial" w:hAnsi="Arial"/>
          <w:b/>
          <w:bCs/>
          <w:sz w:val="21"/>
          <w:szCs w:val="21"/>
        </w:rPr>
        <w:t xml:space="preserve">India Data Localization: </w:t>
      </w:r>
      <w:r>
        <w:rPr>
          <w:rFonts w:ascii="Arial" w:cs="Arial" w:eastAsia="Arial" w:hAnsi="Arial"/>
          <w:sz w:val="21"/>
          <w:szCs w:val="21"/>
        </w:rPr>
        <w:t xml:space="preserve">The Digital Personal Data Protection Act 2023, combined with RBI and SEBI mandates for domestic data storage, creates a structural floor for Indian data center demand that is policy-driven and non-discretionary.</w:t>
      </w:r>
    </w:p>
    <w:p>
      <w:pPr>
        <w:sectPr>
          <w:pgSz w:w="12240" w:h="15840" w:orient="portrait"/>
          <w:pgMar w:top="1440" w:right="1440" w:bottom="1440" w:left="1440" w:header="708" w:footer="708" w:gutter="0"/>
          <w:pgNumType/>
          <w:docGrid w:linePitch="360"/>
        </w:sectPr>
      </w:pPr>
    </w:p>
    <w:p>
      <w:pPr>
        <w:pStyle w:val="Heading1"/>
      </w:pPr>
      <w:r>
        <w:t xml:space="preserve">5. India Data Center Market: Current State &amp; Trajectory</w:t>
      </w:r>
    </w:p>
    <w:p>
      <w:pPr>
        <w:pBdr>
          <w:bottom w:val="single" w:color="2E75B6" w:sz="6" w:space="1"/>
        </w:pBdr>
        <w:spacing w:after="200" w:before="200"/>
      </w:pPr>
    </w:p>
    <w:p>
      <w:pPr>
        <w:spacing w:after="160" w:line="276"/>
      </w:pPr>
      <w:r>
        <w:rPr>
          <w:rFonts w:ascii="Arial" w:cs="Arial" w:eastAsia="Arial" w:hAnsi="Arial"/>
          <w:sz w:val="21"/>
          <w:szCs w:val="21"/>
        </w:rPr>
        <w:t xml:space="preserve">India’s data center market is at an inflection point that mirrors the early-stage infrastructure boom the US and China experienced a decade ago. Operational capacity has reached approximately 1,150 MW as of late 2024, with projections indicating an increase to 2,000–2,100 MW by March 2027 and approximately 15 GW installed base by 2031 (22.8% CAGR). Total market revenue stands at approximately $9.2 billion, with $30 billion in cumulative capex projected through 2030 at an average cost of $4–5 million per MW.</w:t>
      </w:r>
    </w:p>
    <w:p>
      <w:pPr>
        <w:pStyle w:val="Heading3"/>
      </w:pPr>
      <w:r>
        <w:t xml:space="preserve">Market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Operator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 Share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Cities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Notable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NTT GDC India</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Mumbai, Bangalore, Delhi NCR, Chennai</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Largest operator; 18 DCs; Tier IV; BFSI focus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STT GDC India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Mumbai, Chennai, Gurugram, Bangalore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Hyperscale colo; Tata partnership legacy; aggressive metro expansion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Sify Technologies (listed)</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~19%</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Chennai, Mumbai, Delhi NCR</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DC = 38% of revenue; IPO of Sify Infinit (DC arm) with SEBI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Nxtra by Airtel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120+ locations; 6 major cities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Targeting 400 MW by 2027; Carlyle-backed; ~$3B valuation; IPO expected</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CtrlS Datacenters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Mumbai, Bangalore, Kolkata, Hyderabad, Noida, Chennai</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FY25 rev ₹1,567 Cr; ~50% EBITDA margin; Tier IV certified; IPO planned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Yotta (Hiranandani)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Navi Mumbai, Greater Noida, GIFT City, Chennai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Hyperscale; NM1 is one of Asia’s largest DCs; IPO planned FY2026–27</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AdaniConneX (JV: Adani + EdgeConneX)</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~1% but growing fast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Chennai, Hyderabad, Mumbai, Noida</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400 MW Chennai campus commissioned Dec 2025; hyperscale-first</w:t>
            </w:r>
          </w:p>
        </w:tc>
      </w:tr>
    </w:tbl>
    <w:p>
      <w:pPr>
        <w:spacing w:before="200"/>
      </w:pPr>
    </w:p>
    <w:p>
      <w:pPr>
        <w:pStyle w:val="Heading3"/>
      </w:pPr>
      <w:r>
        <w:t xml:space="preserve">Key Demand Drivers for India</w:t>
      </w:r>
    </w:p>
    <w:p>
      <w:pPr>
        <w:pStyle w:val="ListParagraph"/>
        <w:numPr>
          <w:ilvl w:val="0"/>
          <w:numId w:val="2"/>
        </w:numPr>
        <w:spacing w:after="80" w:line="276"/>
      </w:pPr>
      <w:r>
        <w:rPr>
          <w:rFonts w:ascii="Arial" w:cs="Arial" w:eastAsia="Arial" w:hAnsi="Arial"/>
          <w:b/>
          <w:bCs/>
          <w:sz w:val="21"/>
          <w:szCs w:val="21"/>
        </w:rPr>
        <w:t xml:space="preserve">Data Localization: </w:t>
      </w:r>
      <w:r>
        <w:rPr>
          <w:rFonts w:ascii="Arial" w:cs="Arial" w:eastAsia="Arial" w:hAnsi="Arial"/>
          <w:sz w:val="21"/>
          <w:szCs w:val="21"/>
        </w:rPr>
        <w:t xml:space="preserve">DPDP Act 2023; RBI &amp; SEBI mandates for financial data storage within India.</w:t>
      </w:r>
    </w:p>
    <w:p>
      <w:pPr>
        <w:pStyle w:val="ListParagraph"/>
        <w:numPr>
          <w:ilvl w:val="0"/>
          <w:numId w:val="2"/>
        </w:numPr>
        <w:spacing w:after="80" w:line="276"/>
      </w:pPr>
      <w:r>
        <w:rPr>
          <w:rFonts w:ascii="Arial" w:cs="Arial" w:eastAsia="Arial" w:hAnsi="Arial"/>
          <w:b/>
          <w:bCs/>
          <w:sz w:val="21"/>
          <w:szCs w:val="21"/>
        </w:rPr>
        <w:t xml:space="preserve">Hyperscaler Commitments: </w:t>
      </w:r>
      <w:r>
        <w:rPr>
          <w:rFonts w:ascii="Arial" w:cs="Arial" w:eastAsia="Arial" w:hAnsi="Arial"/>
          <w:sz w:val="21"/>
          <w:szCs w:val="21"/>
        </w:rPr>
        <w:t xml:space="preserve">AWS $8.3B in Maharashtra; Google $15B in Andhra Pradesh; Microsoft $3B+ across multiple states.</w:t>
      </w:r>
    </w:p>
    <w:p>
      <w:pPr>
        <w:pStyle w:val="ListParagraph"/>
        <w:numPr>
          <w:ilvl w:val="0"/>
          <w:numId w:val="2"/>
        </w:numPr>
        <w:spacing w:after="80" w:line="276"/>
      </w:pPr>
      <w:r>
        <w:rPr>
          <w:rFonts w:ascii="Arial" w:cs="Arial" w:eastAsia="Arial" w:hAnsi="Arial"/>
          <w:b/>
          <w:bCs/>
          <w:sz w:val="21"/>
          <w:szCs w:val="21"/>
        </w:rPr>
        <w:t xml:space="preserve">IndiaAI Mission: </w:t>
      </w:r>
      <w:r>
        <w:rPr>
          <w:rFonts w:ascii="Arial" w:cs="Arial" w:eastAsia="Arial" w:hAnsi="Arial"/>
          <w:sz w:val="21"/>
          <w:szCs w:val="21"/>
        </w:rPr>
        <w:t xml:space="preserve">₹10,300 Cr government funding for AI-ready data centers and GPU clusters.</w:t>
      </w:r>
    </w:p>
    <w:p>
      <w:pPr>
        <w:pStyle w:val="ListParagraph"/>
        <w:numPr>
          <w:ilvl w:val="0"/>
          <w:numId w:val="2"/>
        </w:numPr>
        <w:spacing w:after="80" w:line="276"/>
      </w:pPr>
      <w:r>
        <w:rPr>
          <w:rFonts w:ascii="Arial" w:cs="Arial" w:eastAsia="Arial" w:hAnsi="Arial"/>
          <w:b/>
          <w:bCs/>
          <w:sz w:val="21"/>
          <w:szCs w:val="21"/>
        </w:rPr>
        <w:t xml:space="preserve">Digital India &amp; 5G: </w:t>
      </w:r>
      <w:r>
        <w:rPr>
          <w:rFonts w:ascii="Arial" w:cs="Arial" w:eastAsia="Arial" w:hAnsi="Arial"/>
          <w:sz w:val="21"/>
          <w:szCs w:val="21"/>
        </w:rPr>
        <w:t xml:space="preserve">900M+ internet users; 32 GB/month per capita data usage (global leader); 5G driving edge DC demand.</w:t>
      </w:r>
    </w:p>
    <w:p>
      <w:pPr>
        <w:pStyle w:val="ListParagraph"/>
        <w:numPr>
          <w:ilvl w:val="0"/>
          <w:numId w:val="2"/>
        </w:numPr>
        <w:spacing w:after="80" w:line="276"/>
      </w:pPr>
      <w:r>
        <w:rPr>
          <w:rFonts w:ascii="Arial" w:cs="Arial" w:eastAsia="Arial" w:hAnsi="Arial"/>
          <w:b/>
          <w:bCs/>
          <w:sz w:val="21"/>
          <w:szCs w:val="21"/>
        </w:rPr>
        <w:t xml:space="preserve">Infrastructure Status: </w:t>
      </w:r>
      <w:r>
        <w:rPr>
          <w:rFonts w:ascii="Arial" w:cs="Arial" w:eastAsia="Arial" w:hAnsi="Arial"/>
          <w:sz w:val="21"/>
          <w:szCs w:val="21"/>
        </w:rPr>
        <w:t xml:space="preserve">Data centers designated as core infrastructure, enabling easier funding access, tax holidays, and fast-track clearances.</w:t>
      </w:r>
    </w:p>
    <w:p>
      <w:pPr>
        <w:pStyle w:val="ListParagraph"/>
        <w:numPr>
          <w:ilvl w:val="0"/>
          <w:numId w:val="2"/>
        </w:numPr>
        <w:spacing w:after="80" w:line="276"/>
      </w:pPr>
      <w:r>
        <w:rPr>
          <w:rFonts w:ascii="Arial" w:cs="Arial" w:eastAsia="Arial" w:hAnsi="Arial"/>
          <w:b/>
          <w:bCs/>
          <w:sz w:val="21"/>
          <w:szCs w:val="21"/>
        </w:rPr>
        <w:t xml:space="preserve">Subsea Cable Expansion: </w:t>
      </w:r>
      <w:r>
        <w:rPr>
          <w:rFonts w:ascii="Arial" w:cs="Arial" w:eastAsia="Arial" w:hAnsi="Arial"/>
          <w:sz w:val="21"/>
          <w:szCs w:val="21"/>
        </w:rPr>
        <w:t xml:space="preserve">SEA-ME-WE-6 (220 Tbps) and India-Asia-Xpress (200 Tbps in 2026) making coastal Indian cities competitive for latency-sensitive workloads.</w:t>
      </w:r>
    </w:p>
    <w:p>
      <w:pPr>
        <w:pStyle w:val="Heading3"/>
      </w:pPr>
      <w:r>
        <w:t xml:space="preserve">Geographic Hubs</w:t>
      </w:r>
    </w:p>
    <w:p>
      <w:pPr>
        <w:pStyle w:val="ListParagraph"/>
        <w:numPr>
          <w:ilvl w:val="0"/>
          <w:numId w:val="2"/>
        </w:numPr>
        <w:spacing w:after="80" w:line="276"/>
      </w:pPr>
      <w:r>
        <w:rPr>
          <w:rFonts w:ascii="Arial" w:cs="Arial" w:eastAsia="Arial" w:hAnsi="Arial"/>
          <w:b/>
          <w:bCs/>
          <w:sz w:val="21"/>
          <w:szCs w:val="21"/>
        </w:rPr>
        <w:t xml:space="preserve">Mumbai (~50% of current capacity): </w:t>
      </w:r>
      <w:r>
        <w:rPr>
          <w:rFonts w:ascii="Arial" w:cs="Arial" w:eastAsia="Arial" w:hAnsi="Arial"/>
          <w:sz w:val="21"/>
          <w:szCs w:val="21"/>
        </w:rPr>
        <w:t xml:space="preserve">BFSI hub; subsea cable access; most mature market; land costs &gt;$200/m².</w:t>
      </w:r>
    </w:p>
    <w:p>
      <w:pPr>
        <w:pStyle w:val="ListParagraph"/>
        <w:numPr>
          <w:ilvl w:val="0"/>
          <w:numId w:val="2"/>
        </w:numPr>
        <w:spacing w:after="80" w:line="276"/>
      </w:pPr>
      <w:r>
        <w:rPr>
          <w:rFonts w:ascii="Arial" w:cs="Arial" w:eastAsia="Arial" w:hAnsi="Arial"/>
          <w:b/>
          <w:bCs/>
          <w:sz w:val="21"/>
          <w:szCs w:val="21"/>
        </w:rPr>
        <w:t xml:space="preserve">Chennai (fastest growing): </w:t>
      </w:r>
      <w:r>
        <w:rPr>
          <w:rFonts w:ascii="Arial" w:cs="Arial" w:eastAsia="Arial" w:hAnsi="Arial"/>
          <w:sz w:val="21"/>
          <w:szCs w:val="21"/>
        </w:rPr>
        <w:t xml:space="preserve">5 active cable systems; lowest latency to SE Asia; strong policy support; cost advantage.</w:t>
      </w:r>
    </w:p>
    <w:p>
      <w:pPr>
        <w:pStyle w:val="ListParagraph"/>
        <w:numPr>
          <w:ilvl w:val="0"/>
          <w:numId w:val="2"/>
        </w:numPr>
        <w:spacing w:after="80" w:line="276"/>
      </w:pPr>
      <w:r>
        <w:rPr>
          <w:rFonts w:ascii="Arial" w:cs="Arial" w:eastAsia="Arial" w:hAnsi="Arial"/>
          <w:b/>
          <w:bCs/>
          <w:sz w:val="21"/>
          <w:szCs w:val="21"/>
        </w:rPr>
        <w:t xml:space="preserve">Bangalore: </w:t>
      </w:r>
      <w:r>
        <w:rPr>
          <w:rFonts w:ascii="Arial" w:cs="Arial" w:eastAsia="Arial" w:hAnsi="Arial"/>
          <w:sz w:val="21"/>
          <w:szCs w:val="21"/>
        </w:rPr>
        <w:t xml:space="preserve">Enterprise IT demand hub but must backhaul 350 km from Chennai (adds 4–6 ms); rules it out for ultra-low-latency.</w:t>
      </w:r>
    </w:p>
    <w:p>
      <w:pPr>
        <w:pStyle w:val="ListParagraph"/>
        <w:numPr>
          <w:ilvl w:val="0"/>
          <w:numId w:val="2"/>
        </w:numPr>
        <w:spacing w:after="80" w:line="276"/>
      </w:pPr>
      <w:r>
        <w:rPr>
          <w:rFonts w:ascii="Arial" w:cs="Arial" w:eastAsia="Arial" w:hAnsi="Arial"/>
          <w:b/>
          <w:bCs/>
          <w:sz w:val="21"/>
          <w:szCs w:val="21"/>
        </w:rPr>
        <w:t xml:space="preserve">Hyderabad: </w:t>
      </w:r>
      <w:r>
        <w:rPr>
          <w:rFonts w:ascii="Arial" w:cs="Arial" w:eastAsia="Arial" w:hAnsi="Arial"/>
          <w:sz w:val="21"/>
          <w:szCs w:val="21"/>
        </w:rPr>
        <w:t xml:space="preserve">Emerging AI hub; Microsoft 150 MW; NTT-Neysa $1.18B investment for 400 MW AI cluster.</w:t>
      </w:r>
    </w:p>
    <w:p>
      <w:pPr>
        <w:pStyle w:val="ListParagraph"/>
        <w:numPr>
          <w:ilvl w:val="0"/>
          <w:numId w:val="2"/>
        </w:numPr>
        <w:spacing w:after="80" w:line="276"/>
      </w:pPr>
      <w:r>
        <w:rPr>
          <w:rFonts w:ascii="Arial" w:cs="Arial" w:eastAsia="Arial" w:hAnsi="Arial"/>
          <w:b/>
          <w:bCs/>
          <w:sz w:val="21"/>
          <w:szCs w:val="21"/>
        </w:rPr>
        <w:t xml:space="preserve">Delhi NCR / Noida: </w:t>
      </w:r>
      <w:r>
        <w:rPr>
          <w:rFonts w:ascii="Arial" w:cs="Arial" w:eastAsia="Arial" w:hAnsi="Arial"/>
          <w:sz w:val="21"/>
          <w:szCs w:val="21"/>
        </w:rPr>
        <w:t xml:space="preserve">Government and enterprise demand; Yotta’s 250 MW Greater Noida project.</w:t>
      </w:r>
    </w:p>
    <w:p>
      <w:pPr>
        <w:sectPr>
          <w:pgSz w:w="12240" w:h="15840" w:orient="portrait"/>
          <w:pgMar w:top="1440" w:right="1440" w:bottom="1440" w:left="1440" w:header="708" w:footer="708" w:gutter="0"/>
          <w:pgNumType/>
          <w:docGrid w:linePitch="360"/>
        </w:sectPr>
      </w:pPr>
    </w:p>
    <w:p>
      <w:pPr>
        <w:pStyle w:val="Heading1"/>
      </w:pPr>
      <w:r>
        <w:t xml:space="preserve">6. India Value Chain Mapping: Segment-by-Segment Beneficiaries</w:t>
      </w:r>
    </w:p>
    <w:p>
      <w:pPr>
        <w:pBdr>
          <w:bottom w:val="single" w:color="2E75B6" w:sz="6" w:space="1"/>
        </w:pBdr>
        <w:spacing w:after="200" w:before="200"/>
      </w:pPr>
    </w:p>
    <w:p>
      <w:pPr>
        <w:spacing w:after="160" w:line="276"/>
      </w:pPr>
      <w:r>
        <w:rPr>
          <w:rFonts w:ascii="Arial" w:cs="Arial" w:eastAsia="Arial" w:hAnsi="Arial"/>
          <w:sz w:val="21"/>
          <w:szCs w:val="21"/>
        </w:rPr>
        <w:t xml:space="preserve">This is the core actionable section. For each layer of the value chain, we identify the listed Indian companies with direct or adjacent exposure to data center demand, their competitive positioning, and the strength of the tailwind.</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000"/>
        <w:gridCol w:w="19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 Chain Layer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Listed Indian Companies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They Do (DC Relevance)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 Mirror / Comparable</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Tailwind Strength &amp; Notes</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Power Generation &amp; Utilities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NTPC, Tata Power, Adani Green Energy, Torrent Power, JSW Energy</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Utility-scale generation, renewable PPAs for DCs, captive power</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NextEra Energy, Vistra, Constellation</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STRONG: DC demand 1.3 GW → 4.7–5.7 GW by FY2030. Renewable PPAs cut opex by 30% vs grid tariffs.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Transmission &amp; Grid Infra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Power Grid Corp, KEC International, Kalpataru Projects, Sterlite Technologies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HV transmission lines, substations, grid connectivity to DC sites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Quanta Services, MYR Group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STRONG: Every new DC campus needs dedicated HV grid infrastructure. Multi-year order books growing 30–50% annually.</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Transformers &amp; Switchgear</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ABB India, Siemens India, CG Power, Hitachi Energy India, BHEL</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Power transformers, MV/LV switchgear, process automation for DCs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Eaton, Schneider Electric, Powell Industries, GE Vernova</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VERY STRONG: Global transformer shortage; lead times 18–24 months in India. ABB, Siemens, CG Power have multi-year order books. Most consistent earnings upgrade segment in Indian capital goods.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UPS / PDU / Power Distribution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ABB India, Schneider Electric India (unlisted but MNC sub), Vertiv (via distributors), Delta Electronics (MNC)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UPS systems, rack PDUs, busway, intelligent power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Vertiv, Schneider, Eaton, Legrand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STRONG: India DC power solutions market at $1.39B in 2025, growing at 17.9% CAGR to $3.16B by 2030. Limited pure-play listed options; ABB India is the best proxy.</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Cables &amp; Wiring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Polycab India, KEI Industries, Havells India, RR Kabel, Finolex Cables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HV/LV power cables, structured cabling, fiber within DC campuses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Corning (fiber), Belden, Panduit</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STRONG: Every DC, grid project, and renewable installation needs cables. Order books growing 30–50% across segment. Polycab is the market leader.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Cooling &amp; HVAC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Blue Star, Voltas, Kirloskar Chillers, Thermax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Precision cooling, HVAC systems, chillers, cooling towers for DCs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Vertiv (cooling), Johnson Controls, Carrier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VERY STRONG: India DC cooling market at $2.38B in 2025, growing at 26.4% CAGR to $7.68B by 2030. Blue Star earmarked ₹400 Cr for capacity expansion targeting 20% growth in FY26. Liquid cooling adoption accelerating.</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Backup Power (DG Sets)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Cummins India, Kirloskar Oil Engines, Triveni Turbine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Diesel/gas generators for N+1/N+2 redundancy in DCs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Cummins (US parent), Generac</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MODERATE-STRONG: Every DC runs redundant backup. Cummins India dominates this segment. Steady, non-discretionary demand.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Construction &amp; EPC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L&amp;T, Techno Electric &amp; Engineering, Kalpataru Projects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Large-scale DC construction, MEP, EPC for power &amp; cooling infra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Aligned Data Centers, Gray (construction)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MODERATE: L&amp;T is the dominant EPC player for large projects. Techno Electric specifically named as a DC operator/builder.</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Fiber &amp; Connectivity</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Sterlite Technologies, Bharti Airtel, Reliance Jio, Tata Communications, RailTel</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Fiber optic cables, network connectivity, subsea cable landings, interconnection</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Lumen, Zayo, Ciena, Corning, SubCom</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STRONG: 420 Tbps of new subsea capacity landing in India by 2026. Sterlite is the domestic fiber leader. Airtel/Jio benefit as network-adjacent DC operators.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Computing &amp; IT Hardware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Netweb Technologies, E2E Networks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HPC/AI server assembly, GPU cloud instances, colocation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NVIDIA, Dell, Super Micro, CoreWeave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MODERATE-HIGH: Netweb has installed 500+ supercomputing systems and 5,000+ AI GPU systems. E2E is a “mini AWS” for Indian AI startups. Both are small-cap, high-risk/high-reward.</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Colocation Operators (Listed / Pre-IPO)</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Sify Technologies (NASDAQ-listed), Anant Raj (NSE), RailTel (NSE); Pre-IPO: Yotta, CtrlS, Nxtra</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Direct DC colocation, managed hosting, cloud connectivity</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Equinix, Digital Realty, CyrusOne, Iron Mountain</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HIGH (but execution-dependent): Sify Infinit IPO (₹3,700 Cr) has SEBI approval. Yotta and Nxtra IPOs expected FY26–27. CtrlS at ~50% EBITDA margin. This is the most direct play but most stocks are pre-listing.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Real Estate / Land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Anant Raj, DLF, Brookfield India REIT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Land banks near power substations and fiber routes; DC campus leasing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Digital Realty (REIT), Vantage, CyrusOne (pre-acquisition)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MODERATE: Anant Raj is the most direct play, transforming from real estate to DC developer. Land scarcity in metros creates a natural moat for existing landholders near HV substations.</w:t>
            </w:r>
          </w:p>
        </w:tc>
      </w:tr>
    </w:tbl>
    <w:p>
      <w:pPr>
        <w:sectPr>
          <w:pgSz w:w="12240" w:h="15840" w:orient="portrait"/>
          <w:pgMar w:top="1440" w:right="1440" w:bottom="1440" w:left="1440" w:header="708" w:footer="708" w:gutter="0"/>
          <w:pgNumType/>
          <w:docGrid w:linePitch="360"/>
        </w:sectPr>
      </w:pPr>
    </w:p>
    <w:p>
      <w:pPr>
        <w:pStyle w:val="Heading1"/>
      </w:pPr>
      <w:r>
        <w:t xml:space="preserve">7. US-to-India Mirror Framework: Listed Stock Ideas</w:t>
      </w:r>
    </w:p>
    <w:p>
      <w:pPr>
        <w:pBdr>
          <w:bottom w:val="single" w:color="2E75B6" w:sz="6" w:space="1"/>
        </w:pBdr>
        <w:spacing w:after="200" w:before="200"/>
      </w:pPr>
    </w:p>
    <w:p>
      <w:pPr>
        <w:spacing w:after="160" w:line="276"/>
      </w:pPr>
      <w:r>
        <w:rPr>
          <w:rFonts w:ascii="Arial" w:cs="Arial" w:eastAsia="Arial" w:hAnsi="Arial"/>
          <w:sz w:val="21"/>
          <w:szCs w:val="21"/>
        </w:rPr>
        <w:t xml:space="preserve">The following table maps US data center value chain winners to their closest Indian equivalents. This is the core output for buy-side idea generation. Companies are grouped by conviction level based on directness of DC exposure, order book visibility, and competitive positioning.</w:t>
      </w:r>
    </w:p>
    <w:p>
      <w:pPr>
        <w:pStyle w:val="Heading3"/>
      </w:pPr>
      <w:r>
        <w:t xml:space="preserve">Tier 1: Highest Conviction – Direct Beneficiaries with Strong Order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200"/>
        <w:gridCol w:w="3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Indian Company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 Mirror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 Size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Investment Thesis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ABB India</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Eaton / ABB (parent)</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Transformers, Switchgear, Automation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Large</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Multi-year order book. Essential for every DC build (switchgear, transformers, automation). Global shortage means sustained pricing power. Most diversified and steady way to play the DC theme.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Siemens India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Schneider Electric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Electrical equipment, Power distribution, Automation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Large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Similar positioning to ABB India. End-to-end industrial automation and power distribution. Benefits from parent’s global DC expertise. Strong order book growth.</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CG Power &amp; Industrial Solutions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Powell Industries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Transformers, Switchgear</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Mid</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Pure-play transformer and switchgear manufacturer. Directly benefits from global transformer shortage. Multi-year order book; earnings upgrades most consistent in this segment among Indian cap goods.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Polycab India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Corning / Belden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Cables (power + fiber)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Large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Market leader in Indian cables. Every DC, grid project, and renewable installation needs cables. Order books growing 30–50%. Most direct cable play.</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Blue Star</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Vertiv (cooling)</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Precision Cooling, HVAC</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Mid</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India’s leading HVAC player for commercial/industrial applications. DC cooling market growing at 26% CAGR. ₹400 Cr earmarked for capacity expansion. Most direct domestic cooling beneficiary.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Cummins India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Cummins (US parent)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Backup Generators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Large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Dominant in Indian DG set market. Every data center runs N+1/N+2 redundant backup power. Steady, non-discretionary demand. Lower beta play but highly predictable.</w:t>
            </w:r>
          </w:p>
        </w:tc>
      </w:tr>
    </w:tbl>
    <w:p>
      <w:pPr>
        <w:spacing w:before="280"/>
      </w:pPr>
    </w:p>
    <w:p>
      <w:pPr>
        <w:pStyle w:val="Heading3"/>
      </w:pPr>
      <w:r>
        <w:t xml:space="preserve">Tier 2: High Conviction – Strong Exposure, Some Execution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200"/>
        <w:gridCol w:w="3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Indian Company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 Mirror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 Size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Investment Thesis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Hitachi Energy India</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GE Vernova / ABB</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Transformers, HVDC, Grid automation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Mid</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High-voltage products and grid automation. Benefits from parent’s NVIDIA 800V DC collaboration. Niche but high-growth positioning.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KEI Industries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Corning / Belden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Second-largest cable manufacturer. Benefits from same tailwinds as Polycab but at a smaller scale.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Thermax</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Bloom Energy (partial)</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Industrial energy, Boilers, Cooling</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Mid</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Industrial energy systems supplier. Can provide combined heat/power and cooling solutions for DCs. Less direct but benefits from overall industrial energy demand.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Voltas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Carrier (cooling)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HVAC, Precision Cooling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Mid-Large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Tata Group company. Precision cooling and large-project HVAC. Indirect play but benefits from DC cooling buildout. Scale and brand provide stability.</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Power Grid Corporation</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NextEra (transmission) / AES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Transmission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Large</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Monopoly on interstate transmission. Every large DC campus needs HV grid connectivity. Defensive, yield-oriented play on DC power demand growth.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L&amp;T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Quanta Services (EPC)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EPC / Construction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Large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India’s dominant EPC player for large infrastructure projects. DC campus construction, power infra, and MEP. Diversified exposure across the value chain.</w:t>
            </w:r>
          </w:p>
        </w:tc>
      </w:tr>
    </w:tbl>
    <w:p>
      <w:pPr>
        <w:spacing w:before="280"/>
      </w:pPr>
    </w:p>
    <w:p>
      <w:pPr>
        <w:pStyle w:val="Heading3"/>
      </w:pPr>
      <w:r>
        <w:t xml:space="preserve">Tier 3: Speculative / High-Reward – Direct DC Plays but Higher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200"/>
        <w:gridCol w:w="3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Indian Company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 Mirror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 Size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Investment Thesis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Netweb Technologies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Super Micro Computer</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AI servers, HPC</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500+ supercomputing systems, 5,000+ AI GPU systems installed. Partners with NVIDIA, AMD, Intel. Mkt cap ~₹4,876 Cr. High-growth but small scale; closest India proxy to the GPU/server supply chain.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E2E Networks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CoreWeave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GPU cloud, Colocation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“Mini AWS” for Indian developers and AI startups. GPU cloud instances and own data centers. Niche but high-potential in AI compute. Scale remains limited – one hyperscaler contract could overwhelm capacity.</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Anant Raj</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Vantage / Digital Realty (early stage)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DC developer / Real estate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Small-Mid</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Transforming from real estate company to DC developer. Operationalizing DCs in Panchkula, Manesar, and Rai. Revenue growth outpacing margins – execution risk is real but most direct listed DC pure-play available today.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Sify Technologies (NASDAQ-listed)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Equinix (early stage)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Colocation, Network 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DC = 38% of revenue. First pure-play DC company with SEBI approval for IPO (₹3,700 Cr for Sify Infinit, the DC arm). If the IPO is successful, it becomes the first directly investable colocation stock in India.</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18"/>
                <w:szCs w:val="18"/>
              </w:rPr>
              <w:t xml:space="preserve">RailTel Corporation</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Lumen Technologies (partial)</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Fiber + Edge DCs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sz w:val="18"/>
                <w:szCs w:val="18"/>
              </w:rPr>
              <w:t xml:space="preserve">Government-owned fiber network. Expanding into edge and hyperscale DCs. Margin compression as it invests. Leverages massive rail corridor fiber network as an asset.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Sterlite Technologies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Corning (fiber)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Optical Fiber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Small-Mid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Domestic fiber optic cable leader. Benefits from 420 Tbps of new subsea capacity landing in India and DC interconnection demand. Lower direct DC exposure but foundational connectivity layer.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D0D0D0" w:sz="1"/>
              <w:right w:val="single" w:color="D0D0D0"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Portfolio Construction Note</w:t>
            </w:r>
          </w:p>
          <w:p>
            <w:pPr>
              <w:spacing w:after="0"/>
            </w:pPr>
            <w:r>
              <w:rPr>
                <w:rFonts w:ascii="Arial" w:cs="Arial" w:eastAsia="Arial" w:hAnsi="Arial"/>
                <w:i/>
                <w:iCs/>
                <w:sz w:val="19"/>
                <w:szCs w:val="19"/>
              </w:rPr>
              <w:t xml:space="preserve">For a risk-adjusted data center basket in India, the optimal approach is to over-weight Tier 1 names (ABB India, Siemens, CG Power, Polycab, Blue Star, Cummins India) which offer high visibility and multi-year order book support, supplement with Tier 2 names (Hitachi Energy, KEI, Power Grid) for diversification, and add selective Tier 3 positions (Netweb, Anant Raj) for optionality on the direct DC theme. Monitor the IPO pipeline closely – Sify Infinit, Yotta, CtrlS, and Nxtra will create new investable pure-play DC assets.</w:t>
            </w:r>
          </w:p>
        </w:tc>
      </w:tr>
    </w:tbl>
    <w:p>
      <w:pPr>
        <w:sectPr>
          <w:pgSz w:w="12240" w:h="15840" w:orient="portrait"/>
          <w:pgMar w:top="1440" w:right="1440" w:bottom="1440" w:left="1440" w:header="708" w:footer="708" w:gutter="0"/>
          <w:pgNumType/>
          <w:docGrid w:linePitch="360"/>
        </w:sectPr>
      </w:pPr>
    </w:p>
    <w:p>
      <w:pPr>
        <w:pStyle w:val="Heading1"/>
      </w:pPr>
      <w:r>
        <w:t xml:space="preserve">8. Risk Factors &amp; Key Watchpoints</w:t>
      </w:r>
    </w:p>
    <w:p>
      <w:pPr>
        <w:pBdr>
          <w:bottom w:val="single" w:color="2E75B6" w:sz="6" w:space="1"/>
        </w:pBdr>
        <w:spacing w:after="200" w:before="200"/>
      </w:pPr>
    </w:p>
    <w:p>
      <w:pPr>
        <w:pStyle w:val="ListParagraph"/>
        <w:numPr>
          <w:ilvl w:val="0"/>
          <w:numId w:val="2"/>
        </w:numPr>
        <w:spacing w:after="80" w:line="276"/>
      </w:pPr>
      <w:r>
        <w:rPr>
          <w:rFonts w:ascii="Arial" w:cs="Arial" w:eastAsia="Arial" w:hAnsi="Arial"/>
          <w:b/>
          <w:bCs/>
          <w:sz w:val="21"/>
          <w:szCs w:val="21"/>
        </w:rPr>
        <w:t xml:space="preserve">Oversupply Risk Post-2028: </w:t>
      </w:r>
      <w:r>
        <w:rPr>
          <w:rFonts w:ascii="Arial" w:cs="Arial" w:eastAsia="Arial" w:hAnsi="Arial"/>
          <w:sz w:val="21"/>
          <w:szCs w:val="21"/>
        </w:rPr>
        <w:t xml:space="preserve">If AI investment cycles slow or hyperscaler capex moderates, the massive capacity under construction could lead to oversupply. The US market is currently at 99% occupancy, but frontier markets have more risk.</w:t>
      </w:r>
    </w:p>
    <w:p>
      <w:pPr>
        <w:pStyle w:val="ListParagraph"/>
        <w:numPr>
          <w:ilvl w:val="0"/>
          <w:numId w:val="2"/>
        </w:numPr>
        <w:spacing w:after="80" w:line="276"/>
      </w:pPr>
      <w:r>
        <w:rPr>
          <w:rFonts w:ascii="Arial" w:cs="Arial" w:eastAsia="Arial" w:hAnsi="Arial"/>
          <w:b/>
          <w:bCs/>
          <w:sz w:val="21"/>
          <w:szCs w:val="21"/>
        </w:rPr>
        <w:t xml:space="preserve">Power Grid Constraints in India: </w:t>
      </w:r>
      <w:r>
        <w:rPr>
          <w:rFonts w:ascii="Arial" w:cs="Arial" w:eastAsia="Arial" w:hAnsi="Arial"/>
          <w:sz w:val="21"/>
          <w:szCs w:val="21"/>
        </w:rPr>
        <w:t xml:space="preserve">Despite India reaching near-zero power deficit at the national level, regional grid instability and transmission bottlenecks can delay DC commissioning. Power PPA economics must stay below ₹4/kWh to meet investor hurdle rates.</w:t>
      </w:r>
    </w:p>
    <w:p>
      <w:pPr>
        <w:pStyle w:val="ListParagraph"/>
        <w:numPr>
          <w:ilvl w:val="0"/>
          <w:numId w:val="2"/>
        </w:numPr>
        <w:spacing w:after="80" w:line="276"/>
      </w:pPr>
      <w:r>
        <w:rPr>
          <w:rFonts w:ascii="Arial" w:cs="Arial" w:eastAsia="Arial" w:hAnsi="Arial"/>
          <w:b/>
          <w:bCs/>
          <w:sz w:val="21"/>
          <w:szCs w:val="21"/>
        </w:rPr>
        <w:t xml:space="preserve">Land Scarcity in Indian Metros: </w:t>
      </w:r>
      <w:r>
        <w:rPr>
          <w:rFonts w:ascii="Arial" w:cs="Arial" w:eastAsia="Arial" w:hAnsi="Arial"/>
          <w:sz w:val="21"/>
          <w:szCs w:val="21"/>
        </w:rPr>
        <w:t xml:space="preserve">Land costs in Mumbai and Bangalore exceed $200/m². Fragmented land parcels and zoning restrictions make it harder to deploy scalable hyperscale campuses adjacent to HV substations and fiber routes.</w:t>
      </w:r>
    </w:p>
    <w:p>
      <w:pPr>
        <w:pStyle w:val="ListParagraph"/>
        <w:numPr>
          <w:ilvl w:val="0"/>
          <w:numId w:val="2"/>
        </w:numPr>
        <w:spacing w:after="80" w:line="276"/>
      </w:pPr>
      <w:r>
        <w:rPr>
          <w:rFonts w:ascii="Arial" w:cs="Arial" w:eastAsia="Arial" w:hAnsi="Arial"/>
          <w:b/>
          <w:bCs/>
          <w:sz w:val="21"/>
          <w:szCs w:val="21"/>
        </w:rPr>
        <w:t xml:space="preserve">Execution Risk in Pre-IPO DC Operators: </w:t>
      </w:r>
      <w:r>
        <w:rPr>
          <w:rFonts w:ascii="Arial" w:cs="Arial" w:eastAsia="Arial" w:hAnsi="Arial"/>
          <w:sz w:val="21"/>
          <w:szCs w:val="21"/>
        </w:rPr>
        <w:t xml:space="preserve">Yotta, CtrlS, and Nxtra are capital-intensive businesses with long payback periods. Pre-IPO valuations may reflect optimism that is not yet visible in cash flows.</w:t>
      </w:r>
    </w:p>
    <w:p>
      <w:pPr>
        <w:pStyle w:val="ListParagraph"/>
        <w:numPr>
          <w:ilvl w:val="0"/>
          <w:numId w:val="2"/>
        </w:numPr>
        <w:spacing w:after="80" w:line="276"/>
      </w:pPr>
      <w:r>
        <w:rPr>
          <w:rFonts w:ascii="Arial" w:cs="Arial" w:eastAsia="Arial" w:hAnsi="Arial"/>
          <w:b/>
          <w:bCs/>
          <w:sz w:val="21"/>
          <w:szCs w:val="21"/>
        </w:rPr>
        <w:t xml:space="preserve">Tariff and Supply Chain Disruptions: </w:t>
      </w:r>
      <w:r>
        <w:rPr>
          <w:rFonts w:ascii="Arial" w:cs="Arial" w:eastAsia="Arial" w:hAnsi="Arial"/>
          <w:sz w:val="21"/>
          <w:szCs w:val="21"/>
        </w:rPr>
        <w:t xml:space="preserve">Equipment companies globally are facing tariff impacts (Vertiv noted margin compression from tariffs). India relies on imported components for cooling (compressors), power electronics, and semiconductor content.</w:t>
      </w:r>
    </w:p>
    <w:p>
      <w:pPr>
        <w:pStyle w:val="ListParagraph"/>
        <w:numPr>
          <w:ilvl w:val="0"/>
          <w:numId w:val="2"/>
        </w:numPr>
        <w:spacing w:after="80" w:line="276"/>
      </w:pPr>
      <w:r>
        <w:rPr>
          <w:rFonts w:ascii="Arial" w:cs="Arial" w:eastAsia="Arial" w:hAnsi="Arial"/>
          <w:b/>
          <w:bCs/>
          <w:sz w:val="21"/>
          <w:szCs w:val="21"/>
        </w:rPr>
        <w:t xml:space="preserve">Technology Transition Risk: </w:t>
      </w:r>
      <w:r>
        <w:rPr>
          <w:rFonts w:ascii="Arial" w:cs="Arial" w:eastAsia="Arial" w:hAnsi="Arial"/>
          <w:sz w:val="21"/>
          <w:szCs w:val="21"/>
        </w:rPr>
        <w:t xml:space="preserve">The 800V DC transition, liquid cooling shift, and custom ASIC diversification could create winners and losers among equipment suppliers. Companies that don’t adapt may lose design-in opportunities.</w:t>
      </w:r>
    </w:p>
    <w:p>
      <w:pPr>
        <w:pStyle w:val="ListParagraph"/>
        <w:numPr>
          <w:ilvl w:val="0"/>
          <w:numId w:val="2"/>
        </w:numPr>
        <w:spacing w:after="80" w:line="276"/>
      </w:pPr>
      <w:r>
        <w:rPr>
          <w:rFonts w:ascii="Arial" w:cs="Arial" w:eastAsia="Arial" w:hAnsi="Arial"/>
          <w:b/>
          <w:bCs/>
          <w:sz w:val="21"/>
          <w:szCs w:val="21"/>
        </w:rPr>
        <w:t xml:space="preserve">Regulatory Risk: </w:t>
      </w:r>
      <w:r>
        <w:rPr>
          <w:rFonts w:ascii="Arial" w:cs="Arial" w:eastAsia="Arial" w:hAnsi="Arial"/>
          <w:sz w:val="21"/>
          <w:szCs w:val="21"/>
        </w:rPr>
        <w:t xml:space="preserve">Changing data protection regulations, carbon pricing, and PUE mandates (BEE targeting PUE below 1.5) can alter the cost structure for operators.</w:t>
      </w:r>
    </w:p>
    <w:p>
      <w:pPr>
        <w:pStyle w:val="ListParagraph"/>
        <w:numPr>
          <w:ilvl w:val="0"/>
          <w:numId w:val="2"/>
        </w:numPr>
        <w:spacing w:after="80" w:line="276"/>
      </w:pPr>
      <w:r>
        <w:rPr>
          <w:rFonts w:ascii="Arial" w:cs="Arial" w:eastAsia="Arial" w:hAnsi="Arial"/>
          <w:b/>
          <w:bCs/>
          <w:sz w:val="21"/>
          <w:szCs w:val="21"/>
        </w:rPr>
        <w:t xml:space="preserve">Water Scarcity: </w:t>
      </w:r>
      <w:r>
        <w:rPr>
          <w:rFonts w:ascii="Arial" w:cs="Arial" w:eastAsia="Arial" w:hAnsi="Arial"/>
          <w:sz w:val="21"/>
          <w:szCs w:val="21"/>
        </w:rPr>
        <w:t xml:space="preserve">As India adopts more liquid cooling, water availability in key metros may become a constraint, especially during summer months.</w:t>
      </w:r>
    </w:p>
    <w:p>
      <w:pPr>
        <w:sectPr>
          <w:pgSz w:w="12240" w:h="15840" w:orient="portrait"/>
          <w:pgMar w:top="1440" w:right="1440" w:bottom="1440" w:left="1440" w:header="708" w:footer="708" w:gutter="0"/>
          <w:pgNumType/>
          <w:docGrid w:linePitch="360"/>
        </w:sectPr>
      </w:pPr>
    </w:p>
    <w:p>
      <w:pPr>
        <w:pStyle w:val="Heading1"/>
      </w:pPr>
      <w:r>
        <w:t xml:space="preserve">9. Conclusion &amp; Actionable Takeaways</w:t>
      </w:r>
    </w:p>
    <w:p>
      <w:pPr>
        <w:pBdr>
          <w:bottom w:val="single" w:color="2E75B6" w:sz="6" w:space="1"/>
        </w:pBdr>
        <w:spacing w:after="200" w:before="200"/>
      </w:pPr>
    </w:p>
    <w:p>
      <w:pPr>
        <w:spacing w:after="160" w:line="276"/>
      </w:pPr>
      <w:r>
        <w:rPr>
          <w:rFonts w:ascii="Arial" w:cs="Arial" w:eastAsia="Arial" w:hAnsi="Arial"/>
          <w:sz w:val="21"/>
          <w:szCs w:val="21"/>
        </w:rPr>
        <w:t xml:space="preserve">The data center value chain represents a multi-decade structural investment theme that is now entering its most capital-intensive phase globally. In the US, the biggest value has been captured by computing silicon (NVIDIA), critical infrastructure equipment (Vertiv, Schneider), and colocation REITs (Equinix, Digital Realty). India is 5–10 years behind on the maturity curve but is entering a hyper-growth phase driven by data localization, hyperscaler commitments, and AI adoption.</w:t>
      </w:r>
    </w:p>
    <w:p>
      <w:pPr>
        <w:pStyle w:val="Heading3"/>
      </w:pPr>
      <w:r>
        <w:t xml:space="preserve">Five Key Takeaways for Client Pitches</w:t>
      </w:r>
    </w:p>
    <w:p>
      <w:pPr>
        <w:pStyle w:val="ListParagraph"/>
        <w:numPr>
          <w:ilvl w:val="0"/>
          <w:numId w:val="2"/>
        </w:numPr>
        <w:spacing w:after="80" w:line="276"/>
      </w:pPr>
      <w:r>
        <w:rPr>
          <w:rFonts w:ascii="Arial" w:cs="Arial" w:eastAsia="Arial" w:hAnsi="Arial"/>
          <w:b/>
          <w:bCs/>
          <w:sz w:val="21"/>
          <w:szCs w:val="21"/>
        </w:rPr>
        <w:t xml:space="preserve">1. Play the ancillaries, not just the operators: </w:t>
      </w:r>
      <w:r>
        <w:rPr>
          <w:rFonts w:ascii="Arial" w:cs="Arial" w:eastAsia="Arial" w:hAnsi="Arial"/>
          <w:sz w:val="21"/>
          <w:szCs w:val="21"/>
        </w:rPr>
        <w:t xml:space="preserve">In India, the highest risk-adjusted returns are likely in the infrastructure equipment layer (transformers, switchgear, cables, cooling) where domestic companies have direct exposure, multi-year order books, and benefit from global supply shortages. ABB India, Siemens India, CG Power, Polycab, and Blue Star are the core basket.</w:t>
      </w:r>
    </w:p>
    <w:p>
      <w:pPr>
        <w:pStyle w:val="ListParagraph"/>
        <w:numPr>
          <w:ilvl w:val="0"/>
          <w:numId w:val="2"/>
        </w:numPr>
        <w:spacing w:after="80" w:line="276"/>
      </w:pPr>
      <w:r>
        <w:rPr>
          <w:rFonts w:ascii="Arial" w:cs="Arial" w:eastAsia="Arial" w:hAnsi="Arial"/>
          <w:b/>
          <w:bCs/>
          <w:sz w:val="21"/>
          <w:szCs w:val="21"/>
        </w:rPr>
        <w:t xml:space="preserve">2. Watch the IPO pipeline for pure-play DC exposure: </w:t>
      </w:r>
      <w:r>
        <w:rPr>
          <w:rFonts w:ascii="Arial" w:cs="Arial" w:eastAsia="Arial" w:hAnsi="Arial"/>
          <w:sz w:val="21"/>
          <w:szCs w:val="21"/>
        </w:rPr>
        <w:t xml:space="preserve">Sify Infinit, Yotta, CtrlS, and Nxtra represent the first wave of investable Indian colocation pure-plays. CtrlS at ~50% EBITDA margins on ₹1,567 Cr revenue is the quality benchmark. These will trade at 10–20x EBITDA, in line with global DC REIT peers.</w:t>
      </w:r>
    </w:p>
    <w:p>
      <w:pPr>
        <w:pStyle w:val="ListParagraph"/>
        <w:numPr>
          <w:ilvl w:val="0"/>
          <w:numId w:val="2"/>
        </w:numPr>
        <w:spacing w:after="80" w:line="276"/>
      </w:pPr>
      <w:r>
        <w:rPr>
          <w:rFonts w:ascii="Arial" w:cs="Arial" w:eastAsia="Arial" w:hAnsi="Arial"/>
          <w:b/>
          <w:bCs/>
          <w:sz w:val="21"/>
          <w:szCs w:val="21"/>
        </w:rPr>
        <w:t xml:space="preserve">3. Cooling is the highest-growth sub-theme: </w:t>
      </w:r>
      <w:r>
        <w:rPr>
          <w:rFonts w:ascii="Arial" w:cs="Arial" w:eastAsia="Arial" w:hAnsi="Arial"/>
          <w:sz w:val="21"/>
          <w:szCs w:val="21"/>
        </w:rPr>
        <w:t xml:space="preserve">India’s DC cooling market is growing at 26.4% CAGR, faster than any other infrastructure segment. AI workloads are making liquid cooling non-optional. Blue Star is the most direct domestic beneficiary; Voltas and Kirloskar are secondary plays.</w:t>
      </w:r>
    </w:p>
    <w:p>
      <w:pPr>
        <w:pStyle w:val="ListParagraph"/>
        <w:numPr>
          <w:ilvl w:val="0"/>
          <w:numId w:val="2"/>
        </w:numPr>
        <w:spacing w:after="80" w:line="276"/>
      </w:pPr>
      <w:r>
        <w:rPr>
          <w:rFonts w:ascii="Arial" w:cs="Arial" w:eastAsia="Arial" w:hAnsi="Arial"/>
          <w:b/>
          <w:bCs/>
          <w:sz w:val="21"/>
          <w:szCs w:val="21"/>
        </w:rPr>
        <w:t xml:space="preserve">4. Power infrastructure is the most durable theme: </w:t>
      </w:r>
      <w:r>
        <w:rPr>
          <w:rFonts w:ascii="Arial" w:cs="Arial" w:eastAsia="Arial" w:hAnsi="Arial"/>
          <w:sz w:val="21"/>
          <w:szCs w:val="21"/>
        </w:rPr>
        <w:t xml:space="preserve">Global transformer shortages, rising switchgear demand, and expanding grid infrastructure create a 5–10 year demand runway. This benefits ABB India, CG Power, Hitachi Energy India, and Power Grid Corporation regardless of which DC operators win market share.</w:t>
      </w:r>
    </w:p>
    <w:p>
      <w:pPr>
        <w:pStyle w:val="ListParagraph"/>
        <w:numPr>
          <w:ilvl w:val="0"/>
          <w:numId w:val="2"/>
        </w:numPr>
        <w:spacing w:after="80" w:line="276"/>
      </w:pPr>
      <w:r>
        <w:rPr>
          <w:rFonts w:ascii="Arial" w:cs="Arial" w:eastAsia="Arial" w:hAnsi="Arial"/>
          <w:b/>
          <w:bCs/>
          <w:sz w:val="21"/>
          <w:szCs w:val="21"/>
        </w:rPr>
        <w:t xml:space="preserve">5. Small-cap optionality in Netweb and E2E Networks: </w:t>
      </w:r>
      <w:r>
        <w:rPr>
          <w:rFonts w:ascii="Arial" w:cs="Arial" w:eastAsia="Arial" w:hAnsi="Arial"/>
          <w:sz w:val="21"/>
          <w:szCs w:val="21"/>
        </w:rPr>
        <w:t xml:space="preserve">For investors with higher risk tolerance, Netweb Technologies (AI server assembly, ~₹5,000 Cr market cap) and E2E Networks (GPU cloud, sovereign AI compute) represent the closest Indian proxies to the US GPU/compute supply chain theme, albeit at much smaller scale.</w:t>
      </w:r>
    </w:p>
    <w:p>
      <w:pPr>
        <w:pBdr>
          <w:bottom w:val="single" w:color="2E75B6" w:sz="6" w:space="1"/>
        </w:pBdr>
        <w:spacing w:after="200" w:before="200"/>
      </w:pPr>
    </w:p>
    <w:p>
      <w:pPr>
        <w:spacing w:before="400"/>
        <w:jc w:val="center"/>
      </w:pPr>
      <w:r>
        <w:rPr>
          <w:rFonts w:ascii="Arial" w:cs="Arial" w:eastAsia="Arial" w:hAnsi="Arial"/>
          <w:i/>
          <w:iCs/>
          <w:color w:val="999999"/>
          <w:sz w:val="20"/>
          <w:szCs w:val="20"/>
        </w:rPr>
        <w:t xml:space="preserve">— END OF REPORT —</w:t>
      </w:r>
    </w:p>
    <w:p>
      <w:pPr>
        <w:spacing w:before="200"/>
        <w:jc w:val="center"/>
      </w:pPr>
      <w:r>
        <w:rPr>
          <w:rFonts w:ascii="Arial" w:cs="Arial" w:eastAsia="Arial" w:hAnsi="Arial"/>
          <w:color w:val="AAAAAA"/>
          <w:sz w:val="16"/>
          <w:szCs w:val="16"/>
        </w:rPr>
        <w:t xml:space="preserve">Sources: Company filings (SEC, BSE, NSE), CB Insights, Mordor Intelligence, Dell’Oro Group, JLL, Turner &amp; Townsend, ICRA, Morningstar, Wood Mackenzie, industry reports. All data as of May 2026.</w:t>
      </w:r>
    </w:p>
    <w:p>
      <w:pPr>
        <w:spacing w:before="100"/>
        <w:jc w:val="center"/>
      </w:pPr>
      <w:r>
        <w:rPr>
          <w:rFonts w:ascii="Arial" w:cs="Arial" w:eastAsia="Arial" w:hAnsi="Arial"/>
          <w:i/>
          <w:iCs/>
          <w:color w:val="AAAAAA"/>
          <w:sz w:val="16"/>
          <w:szCs w:val="16"/>
        </w:rPr>
        <w:t xml:space="preserve">This report is for informational purposes only and does not constitute investment advice. Please conduct independent due diligence before making investment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2026-05-10T13:49:16.690Z</dcterms:created>
  <dcterms:modified xsi:type="dcterms:W3CDTF">2026-05-10T13:49:16.704Z</dcterms:modified>
</cp:coreProperties>
</file>

<file path=docProps/custom.xml><?xml version="1.0" encoding="utf-8"?>
<Properties xmlns="http://schemas.openxmlformats.org/officeDocument/2006/custom-properties" xmlns:vt="http://schemas.openxmlformats.org/officeDocument/2006/docPropsVTypes"/>
</file>