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0" w:line="275.9999942779541" w:lineRule="auto"/>
        <w:rPr>
          <w:color w:val="980000"/>
        </w:rPr>
      </w:pPr>
      <w:bookmarkStart w:colFirst="0" w:colLast="0" w:name="_70tb0oc2763k" w:id="0"/>
      <w:bookmarkEnd w:id="0"/>
      <w:r w:rsidDel="00000000" w:rsidR="00000000" w:rsidRPr="00000000">
        <w:rPr>
          <w:color w:val="980000"/>
          <w:rtl w:val="0"/>
        </w:rPr>
        <w:t xml:space="preserve">Research 2 hrs</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Compliance Imperative: A Risk and Safety Analysis of Healthcare Staffing in the Modern Delivery System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 The Compliance Baseline: Navigating a Fractured Regulatory Landscape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reliance on healthcare staffing agenciRees (HSAs) has become an operational necessity for modern healthcare delivery systems, providing critical flexibility to manage census fluctuations and address workforce shortages. However, this reliance introduces a complex and often underestimated layer of risk. The compliance and credentialing processes employed by these third-party agencies directly impact patient safety, financial stability, and the legal and regulatory standing of the healthcare facilities they serve. An exhaustive analysis of the current environment reveals a significant and dangerous delta between the minimum legal requirements for agency operation and the robust standards necessary to ensure patient safety and mitigate enterprise-level risk. This section will establish the current state of HSA compliance, demonstrating that what is often considered "standard" is, in fact, dangerously insufficient.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Patchwork of State and Federal Mandates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regulatory framework governing healthcare staffing agencies in the United States is not a unified federal standard but a fragmented and inconsistent patchwork of state-level mandates. This lack of uniformity creates a complex and perilous compliance environment for both the agencies and the healthcare organizations that depend on them.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"floor" for legal operation varies dramatically by geography, meaning an agency that is fully compliant in one state may fall far short of the requirements in a neighboring one.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instance, many states, including Kentucky and Missouri, have no specific licensure requirements for HSAs beyond adherence to general labor and employment laws. While these states typically mandate that agencies must verify the licensure and credentials of the personnel they place, they do not regulate the agency itself with the same rigor as other jurisdictions.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hands-off approach contrasts sharply with states that have implemented stringent oversight.</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Louisiana</w:t>
      </w:r>
      <w:r w:rsidDel="00000000" w:rsidR="00000000" w:rsidRPr="00000000">
        <w:rPr>
          <w:rFonts w:ascii="Google Sans Text" w:cs="Google Sans Text" w:eastAsia="Google Sans Text" w:hAnsi="Google Sans Text"/>
          <w:color w:val="1b1c1d"/>
          <w:rtl w:val="0"/>
        </w:rPr>
        <w:t xml:space="preserve"> requires HSAs to undergo a detailed licensure process, which includes submitting a completed application form, paying a non-refundable fee, and providing an organizational chart. Critically, agencies must also furnish a statement of financial solvency, proven by a line of credit of at least $25,000, and maintain general, professional liability, and worker's compensation insurance with a minimum coverage of $1,000,000.</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New York</w:t>
      </w:r>
      <w:r w:rsidDel="00000000" w:rsidR="00000000" w:rsidRPr="00000000">
        <w:rPr>
          <w:rFonts w:ascii="Google Sans Text" w:cs="Google Sans Text" w:eastAsia="Google Sans Text" w:hAnsi="Google Sans Text"/>
          <w:color w:val="1b1c1d"/>
          <w:rtl w:val="0"/>
        </w:rPr>
        <w:t xml:space="preserve"> mandates that all Temporary Health Care Services Agencies register with the State Department of Health. This registration requires the submission of policies on license verification, training, and continuing education, as well as copies of all contracts between the agency and healthcare entities. Furthermore, agencies must submit detailed quarterly reports, including a compendium of all invoices and administrative charges, creating a high degree of financial and operational transparency.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Tennessee, Florida, and Oregon</w:t>
      </w:r>
      <w:r w:rsidDel="00000000" w:rsidR="00000000" w:rsidRPr="00000000">
        <w:rPr>
          <w:rFonts w:ascii="Google Sans Text" w:cs="Google Sans Text" w:eastAsia="Google Sans Text" w:hAnsi="Google Sans Text"/>
          <w:color w:val="1b1c1d"/>
          <w:rtl w:val="0"/>
        </w:rPr>
        <w:t xml:space="preserve"> are among other states that require specific licensure or registration for HSAs, each with its own set of rules regarding reporting, insurance, and credentialing verification.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fractured regulatory landscape creates a "Compliance Chasm" between the bare-minimum legal requirements in some states and the comprehensive standards demanded by accrediting bodies and prudent risk management. This disparity allows for a form of "geographic arbitrage," where a national staffing agency might anchor its internal compliance standards to the lowest common denominator to maximize operational flexibility and minimize costs. A multi-state health system could, therefore, contract with a single national agency and unknowingly receive clinicians vetted to the lenient standards of an unregulated state, even for placement in a facility within a highly regulated state. This creates a systemic vulnerability, as the hospital assumes a level of diligence that the agency is not legally obligated to provide.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Moreover, the regulatory burden often shifts implicitly to the hiring facility. In Virginia, for example, the regulations governing nursing facilities stipulate that if a temporary staffing agency is used, the facility itself is responsible for obtaining a letter from the agency that verifies a criminal record report has been completed for the provided staff member.</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This provision, while well-intentioned, places the onus of proof on the hospital, making it a direct participant in—and partially liable for—the compliance of its vendors.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"Check-the-Box" Fallacy: Common Gaps in Standard Vetting Models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predominant model for credentialing and compliance in many healthcare staffing agencies is reactive, manual, and periodic. This "check-the-box" approach is plagued by inherent systemic weaknesses that create dangerous gaps in oversight, transforming administrative processes into significant sources of clinical and financial risk. Most compliance programs evolve reactively, with policies written only after a new regulation is issued or an audit uncovers a deficiency.</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posture blinds organizations to the true scope of their risk, as they often assume the absence of penalties equates to successful compliance.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operational realities of manual credentialing reveal several common and critical failure points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Fragmented Documentation:</w:t>
      </w:r>
      <w:r w:rsidDel="00000000" w:rsidR="00000000" w:rsidRPr="00000000">
        <w:rPr>
          <w:rFonts w:ascii="Google Sans Text" w:cs="Google Sans Text" w:eastAsia="Google Sans Text" w:hAnsi="Google Sans Text"/>
          <w:color w:val="1b1c1d"/>
          <w:rtl w:val="0"/>
        </w:rPr>
        <w:t xml:space="preserve"> Credentialing files are frequently scattered across disconnected systems, including physical folders, disparate spreadsheets, email chains, and local hard drives. This disorganization makes it easy for critical documents—such as licenses, training records, or reference checks—to be misplaced, duplicated, or overlooked entirely.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Process Delays:</w:t>
      </w:r>
      <w:r w:rsidDel="00000000" w:rsidR="00000000" w:rsidRPr="00000000">
        <w:rPr>
          <w:rFonts w:ascii="Google Sans Text" w:cs="Google Sans Text" w:eastAsia="Google Sans Text" w:hAnsi="Google Sans Text"/>
          <w:color w:val="1b1c1d"/>
          <w:rtl w:val="0"/>
        </w:rPr>
        <w:t xml:space="preserve"> Manual credentialing is notoriously slow, often taking up to four months to complete even without complications. These bottlenecks frustrate candidates, erode client confidence, and create a significant compliance risk. During these prolonged timelines, a clinician's status can change, or regulatory requirements—which can shift as often as every 90 days—may be updated, potentially rendering the entire process obsolete and forcing it to restart.</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Outdated Information:</w:t>
      </w:r>
      <w:r w:rsidDel="00000000" w:rsidR="00000000" w:rsidRPr="00000000">
        <w:rPr>
          <w:rFonts w:ascii="Google Sans Text" w:cs="Google Sans Text" w:eastAsia="Google Sans Text" w:hAnsi="Google Sans Text"/>
          <w:color w:val="1b1c1d"/>
          <w:rtl w:val="0"/>
        </w:rPr>
        <w:t xml:space="preserve"> The most significant flaw in the standard model is its reliance on point-in-time verification. Traditionally, license verification and other checks occur upon hire and at the time of renewal, typically every two years.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This creates a vast window of vulnerability. A clinician's license could be sanctioned, suspended, or revoked the day after a one-time check is performed, yet the agency's and hospital's records would continue to show that individual as compliant. The organization would remain unaware of the change until the next scheduled manual check, which could be months or even years away.</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are not isolated human errors but symptoms of a fundamentally flawed, reactive system. The very structure of a manual, point-in-time verification model guarantees that there will be periods where a non-compliant or sanctioned clinician is practicing with the hospital's full, but mistaken, confidence. The risk is not that an error </w:t>
      </w:r>
      <w:r w:rsidDel="00000000" w:rsidR="00000000" w:rsidRPr="00000000">
        <w:rPr>
          <w:rFonts w:ascii="Google Sans Text" w:cs="Google Sans Text" w:eastAsia="Google Sans Text" w:hAnsi="Google Sans Text"/>
          <w:i w:val="1"/>
          <w:iCs w:val="1"/>
          <w:color w:val="1b1c1d"/>
          <w:rtl w:val="0"/>
        </w:rPr>
        <w:t xml:space="preserve">might</w:t>
      </w:r>
      <w:r w:rsidDel="00000000" w:rsidR="00000000" w:rsidRPr="00000000">
        <w:rPr>
          <w:rFonts w:ascii="Google Sans Text" w:cs="Google Sans Text" w:eastAsia="Google Sans Text" w:hAnsi="Google Sans Text"/>
          <w:color w:val="1b1c1d"/>
          <w:rtl w:val="0"/>
        </w:rPr>
        <w:t xml:space="preserve"> occur, but that a change in compliance status is </w:t>
      </w:r>
      <w:r w:rsidDel="00000000" w:rsidR="00000000" w:rsidRPr="00000000">
        <w:rPr>
          <w:rFonts w:ascii="Google Sans Text" w:cs="Google Sans Text" w:eastAsia="Google Sans Text" w:hAnsi="Google Sans Text"/>
          <w:i w:val="1"/>
          <w:iCs w:val="1"/>
          <w:color w:val="1b1c1d"/>
          <w:rtl w:val="0"/>
        </w:rPr>
        <w:t xml:space="preserve">guaranteed</w:t>
      </w:r>
      <w:r w:rsidDel="00000000" w:rsidR="00000000" w:rsidRPr="00000000">
        <w:rPr>
          <w:rFonts w:ascii="Google Sans Text" w:cs="Google Sans Text" w:eastAsia="Google Sans Text" w:hAnsi="Google Sans Text"/>
          <w:color w:val="1b1c1d"/>
          <w:rtl w:val="0"/>
        </w:rPr>
        <w:t xml:space="preserve"> to be missed for a significant duration.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only structural solution to this structural problem is a paradigm shift from periodic verification to continuous monitoring. Continuous monitoring is an ongoing, real-time process of verifying credentials, licenses, and exclusions, providing instant alerts when a change occurs.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This proactive approach closes the dangerous gap left by periodic checks. The importance of this shift is underscored by evolving industry standards; for example, the National Committee for Quality Assurance (NCQA) has implemented new requirements for license expiration monitoring, signaling that continuous oversight is becoming the new benchmark for best practice.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Beyond the Basics: The Criticality of Comprehensive Exclusion and Abuse Registry Screening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foundational element of healthcare compliance is ensuring that no employee, contractor, or vendor is excluded from participation in federal or state healthcare programs. However, many organizations operate under the dangerous misconception that a single check of the federal Office of Inspector General (OIG) database is sufficient. In reality, true compliance requires a far more comprehensive and frequent screening process across multiple, overlapping, and often disconnected databases.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Federal regulations mandate that healthcare entities screen all personnel against two primary lists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The HHS OIG's List of Excluded Individuals and Entities (LEIE):</w:t>
      </w:r>
      <w:r w:rsidDel="00000000" w:rsidR="00000000" w:rsidRPr="00000000">
        <w:rPr>
          <w:rFonts w:ascii="Google Sans Text" w:cs="Google Sans Text" w:eastAsia="Google Sans Text" w:hAnsi="Google Sans Text"/>
          <w:color w:val="1b1c1d"/>
          <w:rtl w:val="0"/>
        </w:rPr>
        <w:t xml:space="preserve"> This database lists individuals and entities barred from receiving payment from federal healthcare programs like Medicare and Medicaid for offenses such as fraud, patient abuse, or felony drug convictions.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The GSA's System for Award Management (SAM):</w:t>
      </w:r>
      <w:r w:rsidDel="00000000" w:rsidR="00000000" w:rsidRPr="00000000">
        <w:rPr>
          <w:rFonts w:ascii="Google Sans Text" w:cs="Google Sans Text" w:eastAsia="Google Sans Text" w:hAnsi="Google Sans Text"/>
          <w:color w:val="1b1c1d"/>
          <w:rtl w:val="0"/>
        </w:rPr>
        <w:t xml:space="preserve"> Formerly the Excluded Parties List System (EPLS), SAM.gov is a broader list of individuals and entities debarred, sanctioned, or excluded from doing business under any federal contract.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Crucially, screening is not a one-time, pre-employment task. The OIG updates its LEIE database monthly, and both the OIG and the Centers for Medicare &amp; Medicaid Services (CMS) have clarified that the best practice is to screen </w:t>
      </w:r>
      <w:r w:rsidDel="00000000" w:rsidR="00000000" w:rsidRPr="00000000">
        <w:rPr>
          <w:rFonts w:ascii="Google Sans Text" w:cs="Google Sans Text" w:eastAsia="Google Sans Text" w:hAnsi="Google Sans Text"/>
          <w:i w:val="1"/>
          <w:iCs w:val="1"/>
          <w:color w:val="1b1c1d"/>
          <w:rtl w:val="0"/>
        </w:rPr>
        <w:t xml:space="preserve">all</w:t>
      </w:r>
      <w:r w:rsidDel="00000000" w:rsidR="00000000" w:rsidRPr="00000000">
        <w:rPr>
          <w:rFonts w:ascii="Google Sans Text" w:cs="Google Sans Text" w:eastAsia="Google Sans Text" w:hAnsi="Google Sans Text"/>
          <w:color w:val="1b1c1d"/>
          <w:rtl w:val="0"/>
        </w:rPr>
        <w:t xml:space="preserve"> current employees, contractors, and vendors against these lists on a </w:t>
      </w:r>
      <w:r w:rsidDel="00000000" w:rsidR="00000000" w:rsidRPr="00000000">
        <w:rPr>
          <w:rFonts w:ascii="Google Sans Text" w:cs="Google Sans Text" w:eastAsia="Google Sans Text" w:hAnsi="Google Sans Text"/>
          <w:i w:val="1"/>
          <w:iCs w:val="1"/>
          <w:color w:val="1b1c1d"/>
          <w:rtl w:val="0"/>
        </w:rPr>
        <w:t xml:space="preserve">monthly basis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An organization that performs only a pre-employment check is exposed to the risk of continuing to employ and bill for an individual who becomes excluded during their tenure.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significant gap in this process, however, lies at the state level. A 2011 OIG audit revealed that the federal LEIE was missing up to 61% of existing state Medicaid exclusions—a deficiency that persists today.</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This means that an agency or hospital relying solely on the federal LEIE check is operating with a massive blind spot. There are currently 42 states that maintain 44 separate, publicly available Medicaid exclusion lists.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These lists are published in different formats with varying data points, making manual screening a monumentally difficult and resource-intensive task. A clinician could be excluded by a state Medicaid program but not appear on the federal LEIE, and an organization that fails to check the relevant state list could unknowingly submit fraudulent claims.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Beyond financial and fraud-related exclusions, a comprehensive vetting process must also include checks of state-level abuse registries. These databases are distinct from criminal background checks and track substantiated cases of abuse, neglect, or exploitation involving vulnerable populations. States like New Mexico (Employee Abuse Registry), California (Child Abuse Central Index), and Texas (Central Registry) require that health facilities check these registries prior to hiring any individual who will have contact with patients or clients.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"Many-List Problem" shatters the myth of a single source of truth for compliance screening. An effective compliance program must query a complex and non-standardized matrix of over 40 state-level lists in addition to the two primary federal databases, and do so on a monthly basis. The administrative burden of performing this task manually is so prohibitive that it is functionally impossible at scale, making automated, multi-database monitoring a de facto requirement for any organization serious about risk management.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Gold Standard: Defining Compliance Through Accreditation Bodies (The Joint Commission)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state and federal laws define the minimum legal requirements, accreditation bodies like The Joint Commission (TJC) establish the benchmark for excellence in patient safety and quality of care. For healthcare organizations and the staffing agencies that serve them, TJC standards represent the "gold standard" for a truly robust compliance program.</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Recognizing the critical role of temporary staff, TJC has developed a specific </w:t>
      </w:r>
      <w:r w:rsidDel="00000000" w:rsidR="00000000" w:rsidRPr="00000000">
        <w:rPr>
          <w:rFonts w:ascii="Google Sans Text" w:cs="Google Sans Text" w:eastAsia="Google Sans Text" w:hAnsi="Google Sans Text"/>
          <w:b w:val="1"/>
          <w:bCs w:val="1"/>
          <w:color w:val="1b1c1d"/>
          <w:rtl w:val="0"/>
        </w:rPr>
        <w:t xml:space="preserve">Health Care Staffing Services (HCSS) certification program</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This voluntary certification provides an independent, comprehensive evaluation of a staffing firm's ability to provide expert services. For an agency, achieving HCSS certification provides a framework for organizational management, a competitive edge in the marketplace, and may even reduce liability insurance costs.</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To be eligible, a firm must place temporary clinical staff and collect and present data on standardized performance measures, demonstrating a commitment to quality that goes beyond basic credential verification.</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More importantly, TJC standards hold accredited hospitals directly accountable for the quality and competency of </w:t>
      </w:r>
      <w:r w:rsidDel="00000000" w:rsidR="00000000" w:rsidRPr="00000000">
        <w:rPr>
          <w:rFonts w:ascii="Google Sans Text" w:cs="Google Sans Text" w:eastAsia="Google Sans Text" w:hAnsi="Google Sans Text"/>
          <w:i w:val="1"/>
          <w:iCs w:val="1"/>
          <w:color w:val="1b1c1d"/>
          <w:rtl w:val="0"/>
        </w:rPr>
        <w:t xml:space="preserve">every</w:t>
      </w:r>
      <w:r w:rsidDel="00000000" w:rsidR="00000000" w:rsidRPr="00000000">
        <w:rPr>
          <w:rFonts w:ascii="Google Sans Text" w:cs="Google Sans Text" w:eastAsia="Google Sans Text" w:hAnsi="Google Sans Text"/>
          <w:color w:val="1b1c1d"/>
          <w:rtl w:val="0"/>
        </w:rPr>
        <w:t xml:space="preserve"> individual providing care within their walls, regardless of their employment status.</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Standard HR.01.06.01</w:t>
      </w:r>
      <w:r w:rsidDel="00000000" w:rsidR="00000000" w:rsidRPr="00000000">
        <w:rPr>
          <w:rFonts w:ascii="Google Sans Text" w:cs="Google Sans Text" w:eastAsia="Google Sans Text" w:hAnsi="Google Sans Text"/>
          <w:color w:val="1b1c1d"/>
          <w:rtl w:val="0"/>
        </w:rPr>
        <w:t xml:space="preserve"> requires the organization to have a standardized process for assessing, documenting, and maintaining the competency of all staff members at defined intervals.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TJC also explicitly requires that all staff, including temporary personnel, be properly oriented to their specific jobs and the work environment </w:t>
      </w:r>
      <w:r w:rsidDel="00000000" w:rsidR="00000000" w:rsidRPr="00000000">
        <w:rPr>
          <w:rFonts w:ascii="Google Sans Text" w:cs="Google Sans Text" w:eastAsia="Google Sans Text" w:hAnsi="Google Sans Text"/>
          <w:i w:val="1"/>
          <w:iCs w:val="1"/>
          <w:color w:val="1b1c1d"/>
          <w:rtl w:val="0"/>
        </w:rPr>
        <w:t xml:space="preserve">before</w:t>
      </w:r>
      <w:r w:rsidDel="00000000" w:rsidR="00000000" w:rsidRPr="00000000">
        <w:rPr>
          <w:rFonts w:ascii="Google Sans Text" w:cs="Google Sans Text" w:eastAsia="Google Sans Text" w:hAnsi="Google Sans Text"/>
          <w:color w:val="1b1c1d"/>
          <w:rtl w:val="0"/>
        </w:rPr>
        <w:t xml:space="preserve"> they begin providing care, treatment, and services.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most significant development in this area is the introduction of </w:t>
      </w:r>
      <w:r w:rsidDel="00000000" w:rsidR="00000000" w:rsidRPr="00000000">
        <w:rPr>
          <w:rFonts w:ascii="Google Sans Text" w:cs="Google Sans Text" w:eastAsia="Google Sans Text" w:hAnsi="Google Sans Text"/>
          <w:b w:val="1"/>
          <w:bCs w:val="1"/>
          <w:color w:val="1b1c1d"/>
          <w:rtl w:val="0"/>
        </w:rPr>
        <w:t xml:space="preserve">National Performance Goal 12 (NPG 12)</w:t>
      </w:r>
      <w:r w:rsidDel="00000000" w:rsidR="00000000" w:rsidRPr="00000000">
        <w:rPr>
          <w:rFonts w:ascii="Google Sans Text" w:cs="Google Sans Text" w:eastAsia="Google Sans Text" w:hAnsi="Google Sans Text"/>
          <w:color w:val="1b1c1d"/>
          <w:rtl w:val="0"/>
        </w:rPr>
        <w:t xml:space="preserve">, effective January 1, 2026.</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This new goal represents a watershed moment, elevating staffing from a background operational concern to a measurable, accountable performance indicator that directly impacts a hospital's accreditation status.</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The goal states: </w:t>
      </w:r>
      <w:r w:rsidDel="00000000" w:rsidR="00000000" w:rsidRPr="00000000">
        <w:rPr>
          <w:rFonts w:ascii="Google Sans Text" w:cs="Google Sans Text" w:eastAsia="Google Sans Text" w:hAnsi="Google Sans Text"/>
          <w:i w:val="1"/>
          <w:iCs w:val="1"/>
          <w:color w:val="1b1c1d"/>
          <w:rtl w:val="0"/>
        </w:rPr>
        <w:t xml:space="preserve">"The hospital is staffed to meet the needs of the patients it serves, and staff are competent to provide safe, quality care."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implications of NPG 12 are profound. It mandates an "adequate number" of licensed nurses and other staff to provide care as needed. It places direct responsibility and accountability on the hospital's Nurse Executive for directing nurse staffing, developing staffing plans, and ensuring 24/7 RN supervision. Crucially, it requires that the adequacy of staffing be continuously analyzed and reported annually as part of the hospital's patient safety reviews.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new standard effectively acts as a forcing function for vetting. It eliminates a hospital's ability to fully delegate responsibility for staff quality to a third-party agency. TJC's "tracer methodology," in which surveyors follow a patient's journey through the hospital, means that any clinician—permanent or temporary—is subject to scrutiny.</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If a TJC surveyor interviews an agency nurse and finds them to be incompetent, or discovers through a file review that their credentials have lapsed due to a failure in the agency's vetting process, the deficiency will be cited against the </w:t>
      </w:r>
      <w:r w:rsidDel="00000000" w:rsidR="00000000" w:rsidRPr="00000000">
        <w:rPr>
          <w:rFonts w:ascii="Google Sans Text" w:cs="Google Sans Text" w:eastAsia="Google Sans Text" w:hAnsi="Google Sans Text"/>
          <w:i w:val="1"/>
          <w:iCs w:val="1"/>
          <w:color w:val="1b1c1d"/>
          <w:rtl w:val="0"/>
        </w:rPr>
        <w:t xml:space="preserve">hospital</w:t>
      </w:r>
      <w:r w:rsidDel="00000000" w:rsidR="00000000" w:rsidRPr="00000000">
        <w:rPr>
          <w:rFonts w:ascii="Google Sans Text" w:cs="Google Sans Text" w:eastAsia="Google Sans Text" w:hAnsi="Google Sans Text"/>
          <w:color w:val="1b1c1d"/>
          <w:rtl w:val="0"/>
        </w:rPr>
        <w:t xml:space="preserve"> for failing to meet NPG 12. The risk is no longer just a matter of potential vicarious liability in a future lawsuit; it becomes an immediate threat to the hospital's accreditation. This dynamic fundamentally alters the relationship between hospitals and agencies, making the hospital's process for vetting and auditing its staffing partners a direct and critical component of its own TJC readiness.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Compliance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Level 1: Minimum Legal Baseline (Varies by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Level 2: Common Industry Practice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Level 3: TJC Gold Standard (HCSS &amp; NPG 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Agency Licensing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Not required in many states; basic business registration only.</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Varies; may seek licensure in required states but not apply higher standards universally.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TJC HCSS Certification, providing a framework for organizational structure and management.</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License Verification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One-time verification at time of hire.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Verification at hire and at time of license renewal (e.g., every 2 years).</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Continuous, real-time license monitoring with instant alerts for any status change.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Exclusion Screening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One-time pre-employment check of federal OIG LEIE database.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Pre-employment check of OIG LEIE and SAM.gov databases.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Monthly screening of all active clinicians against federal LEIE, SAM.gov, and all 44 state Medicaid exclusion lists.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Competency Assessment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Relies solely on possession of a valid state license.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Basic skills checklist completed at onboarding.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Standardized, documented competency assessment at defined intervals for all staff, including temporary, per TJC Standard HR.01.06.01.</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Staffing Effectiveness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 specific requirement beyond filling open shifts.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Focus on filling shifts to meet basic nurse-to-patient ratios.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Hospital leadership is directly accountable for ensuring adequate numbers of </w:t>
            </w:r>
            <w:r w:rsidDel="00000000" w:rsidR="00000000" w:rsidRPr="00000000">
              <w:rPr>
                <w:rFonts w:ascii="Google Sans Text" w:cs="Google Sans Text" w:eastAsia="Google Sans Text" w:hAnsi="Google Sans Text"/>
                <w:i w:val="1"/>
                <w:iCs w:val="1"/>
                <w:color w:val="1b1c1d"/>
                <w:shd w:fill="auto" w:val="clear"/>
                <w:rtl w:val="0"/>
              </w:rPr>
              <w:t xml:space="preserve">competent</w:t>
            </w:r>
            <w:r w:rsidDel="00000000" w:rsidR="00000000" w:rsidRPr="00000000">
              <w:rPr>
                <w:rFonts w:ascii="Google Sans Text" w:cs="Google Sans Text" w:eastAsia="Google Sans Text" w:hAnsi="Google Sans Text"/>
                <w:color w:val="1b1c1d"/>
                <w:shd w:fill="auto" w:val="clear"/>
                <w:rtl w:val="0"/>
              </w:rPr>
              <w:t xml:space="preserve"> staff to provide safe care, with continuous analysis of staffing adequacy per NPG 12.</w:t>
            </w:r>
            <w:r w:rsidDel="00000000" w:rsidR="00000000" w:rsidRPr="00000000">
              <w:rPr>
                <w:rFonts w:ascii="Google Sans Text" w:cs="Google Sans Text" w:eastAsia="Google Sans Text" w:hAnsi="Google Sans Text"/>
                <w:color w:val="444746"/>
                <w:sz w:val="24"/>
                <w:szCs w:val="24"/>
                <w:vertAlign w:val="superscript"/>
                <w:rtl w:val="0"/>
              </w:rPr>
              <w:t xml:space="preserve">24</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 The High Cost of Complacency: Quantifying the Multidimensional Risks of Compliance Failures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gaps in standard compliance frameworks represent theoretical vulnerabilities, the consequences of those vulnerabilities manifesting are concrete, severe, and multidimensional. A single failure in an agency's vetting process can trigger a cascade of negative outcomes, creating staggering financial liabilities, causing irreparable patient harm, and inflicting lasting damage to an organization's reputation and internal stability. The data, legal precedents, and documented case studies presented in this section demonstrate that inadequate compliance is not a passive risk but an active threat with a quantifiable and often devastating cost.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Financial Precipice: Fines, Lawsuits, and Vicarious Liability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direct and measurable consequence of a compliance failure is financial. These costs arise from two primary sources: regulatory penalties for non-compliance with federal and state laws, and civil liability stemming from lawsuits related to negligent hiring and medical malpractice.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Regulatory Penalties:</w:t>
      </w:r>
      <w:r w:rsidDel="00000000" w:rsidR="00000000" w:rsidRPr="00000000">
        <w:rPr>
          <w:rFonts w:ascii="Google Sans Text" w:cs="Google Sans Text" w:eastAsia="Google Sans Text" w:hAnsi="Google Sans Text"/>
          <w:color w:val="1b1c1d"/>
          <w:rtl w:val="0"/>
        </w:rPr>
        <w:t xml:space="preserve"> The Office of Inspector General (OIG) enforces strict prohibitions against billing federal healthcare programs for services rendered by an excluded individual or entity. The penalties for violations are severe and are levied under the Civil Monetary Penalties Law (CMPL). An organization that employs or contracts with an excluded individual may be subject to penalties of up to $20,000 for each item or service claimed, plus damages of up to three times the amount claimed.</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Critically, ignorance of an individual's excluded status is not a defense; the OIG holds organizations to a standard of "should have known," making diligent and frequent screening an absolute requirement.</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Recent enforcement actions illustrate the reality of these penalties, which are consistently applied across different roles, organization types, and geographic locations </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Sharp Healthcare</w:t>
      </w:r>
      <w:r w:rsidDel="00000000" w:rsidR="00000000" w:rsidRPr="00000000">
        <w:rPr>
          <w:rFonts w:ascii="Google Sans Text" w:cs="Google Sans Text" w:eastAsia="Google Sans Text" w:hAnsi="Google Sans Text"/>
          <w:color w:val="1b1c1d"/>
          <w:rtl w:val="0"/>
        </w:rPr>
        <w:t xml:space="preserve"> in San Diego, CA, agreed to pay </w:t>
      </w:r>
      <w:r w:rsidDel="00000000" w:rsidR="00000000" w:rsidRPr="00000000">
        <w:rPr>
          <w:rFonts w:ascii="Google Sans Text" w:cs="Google Sans Text" w:eastAsia="Google Sans Text" w:hAnsi="Google Sans Text"/>
          <w:b w:val="1"/>
          <w:bCs w:val="1"/>
          <w:color w:val="1b1c1d"/>
          <w:rtl w:val="0"/>
        </w:rPr>
        <w:t xml:space="preserve">$153,072.64</w:t>
      </w:r>
      <w:r w:rsidDel="00000000" w:rsidR="00000000" w:rsidRPr="00000000">
        <w:rPr>
          <w:rFonts w:ascii="Google Sans Text" w:cs="Google Sans Text" w:eastAsia="Google Sans Text" w:hAnsi="Google Sans Text"/>
          <w:color w:val="1b1c1d"/>
          <w:rtl w:val="0"/>
        </w:rPr>
        <w:t xml:space="preserve"> to settle allegations that it employed an excluded nurse and billed federal healthcare programs for items and services she provided.</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Kidspeace National Centers of New England</w:t>
      </w:r>
      <w:r w:rsidDel="00000000" w:rsidR="00000000" w:rsidRPr="00000000">
        <w:rPr>
          <w:rFonts w:ascii="Google Sans Text" w:cs="Google Sans Text" w:eastAsia="Google Sans Text" w:hAnsi="Google Sans Text"/>
          <w:color w:val="1b1c1d"/>
          <w:rtl w:val="0"/>
        </w:rPr>
        <w:t xml:space="preserve"> paid a penalty of </w:t>
      </w:r>
      <w:r w:rsidDel="00000000" w:rsidR="00000000" w:rsidRPr="00000000">
        <w:rPr>
          <w:rFonts w:ascii="Google Sans Text" w:cs="Google Sans Text" w:eastAsia="Google Sans Text" w:hAnsi="Google Sans Text"/>
          <w:b w:val="1"/>
          <w:bCs w:val="1"/>
          <w:color w:val="1b1c1d"/>
          <w:rtl w:val="0"/>
        </w:rPr>
        <w:t xml:space="preserve">$44,000</w:t>
      </w:r>
      <w:r w:rsidDel="00000000" w:rsidR="00000000" w:rsidRPr="00000000">
        <w:rPr>
          <w:rFonts w:ascii="Google Sans Text" w:cs="Google Sans Text" w:eastAsia="Google Sans Text" w:hAnsi="Google Sans Text"/>
          <w:color w:val="1b1c1d"/>
          <w:rtl w:val="0"/>
        </w:rPr>
        <w:t xml:space="preserve"> for </w:t>
      </w:r>
      <w:r w:rsidDel="00000000" w:rsidR="00000000" w:rsidRPr="00000000">
        <w:rPr>
          <w:rFonts w:ascii="Google Sans Text" w:cs="Google Sans Text" w:eastAsia="Google Sans Text" w:hAnsi="Google Sans Text"/>
          <w:i w:val="1"/>
          <w:iCs w:val="1"/>
          <w:color w:val="1b1c1d"/>
          <w:rtl w:val="0"/>
        </w:rPr>
        <w:t xml:space="preserve">contracting</w:t>
      </w:r>
      <w:r w:rsidDel="00000000" w:rsidR="00000000" w:rsidRPr="00000000">
        <w:rPr>
          <w:rFonts w:ascii="Google Sans Text" w:cs="Google Sans Text" w:eastAsia="Google Sans Text" w:hAnsi="Google Sans Text"/>
          <w:color w:val="1b1c1d"/>
          <w:rtl w:val="0"/>
        </w:rPr>
        <w:t xml:space="preserve"> with an excluded individual, demonstrating that liability extends beyond direct employment.</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AccuCare Home Health Services</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CareLink Home Health</w:t>
      </w:r>
      <w:r w:rsidDel="00000000" w:rsidR="00000000" w:rsidRPr="00000000">
        <w:rPr>
          <w:rFonts w:ascii="Google Sans Text" w:cs="Google Sans Text" w:eastAsia="Google Sans Text" w:hAnsi="Google Sans Text"/>
          <w:color w:val="1b1c1d"/>
          <w:rtl w:val="0"/>
        </w:rPr>
        <w:t xml:space="preserve"> paid penalties of </w:t>
      </w:r>
      <w:r w:rsidDel="00000000" w:rsidR="00000000" w:rsidRPr="00000000">
        <w:rPr>
          <w:rFonts w:ascii="Google Sans Text" w:cs="Google Sans Text" w:eastAsia="Google Sans Text" w:hAnsi="Google Sans Text"/>
          <w:b w:val="1"/>
          <w:bCs w:val="1"/>
          <w:color w:val="1b1c1d"/>
          <w:rtl w:val="0"/>
        </w:rPr>
        <w:t xml:space="preserve">$20,000</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$35,000</w:t>
      </w:r>
      <w:r w:rsidDel="00000000" w:rsidR="00000000" w:rsidRPr="00000000">
        <w:rPr>
          <w:rFonts w:ascii="Google Sans Text" w:cs="Google Sans Text" w:eastAsia="Google Sans Text" w:hAnsi="Google Sans Text"/>
          <w:color w:val="1b1c1d"/>
          <w:rtl w:val="0"/>
        </w:rPr>
        <w:t xml:space="preserve">, respectively, for employing excluded individuals.</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Even non-clinical roles carry risk. </w:t>
      </w:r>
      <w:r w:rsidDel="00000000" w:rsidR="00000000" w:rsidRPr="00000000">
        <w:rPr>
          <w:rFonts w:ascii="Google Sans Text" w:cs="Google Sans Text" w:eastAsia="Google Sans Text" w:hAnsi="Google Sans Text"/>
          <w:b w:val="1"/>
          <w:bCs w:val="1"/>
          <w:color w:val="1b1c1d"/>
          <w:rtl w:val="0"/>
        </w:rPr>
        <w:t xml:space="preserve">Adriana Strimbu, DPM</w:t>
      </w:r>
      <w:r w:rsidDel="00000000" w:rsidR="00000000" w:rsidRPr="00000000">
        <w:rPr>
          <w:rFonts w:ascii="Google Sans Text" w:cs="Google Sans Text" w:eastAsia="Google Sans Text" w:hAnsi="Google Sans Text"/>
          <w:color w:val="1b1c1d"/>
          <w:rtl w:val="0"/>
        </w:rPr>
        <w:t xml:space="preserve">, a podiatrist in Florida, paid </w:t>
      </w:r>
      <w:r w:rsidDel="00000000" w:rsidR="00000000" w:rsidRPr="00000000">
        <w:rPr>
          <w:rFonts w:ascii="Google Sans Text" w:cs="Google Sans Text" w:eastAsia="Google Sans Text" w:hAnsi="Google Sans Text"/>
          <w:b w:val="1"/>
          <w:bCs w:val="1"/>
          <w:color w:val="1b1c1d"/>
          <w:rtl w:val="0"/>
        </w:rPr>
        <w:t xml:space="preserve">$41,739.66</w:t>
      </w:r>
      <w:r w:rsidDel="00000000" w:rsidR="00000000" w:rsidRPr="00000000">
        <w:rPr>
          <w:rFonts w:ascii="Google Sans Text" w:cs="Google Sans Text" w:eastAsia="Google Sans Text" w:hAnsi="Google Sans Text"/>
          <w:color w:val="1b1c1d"/>
          <w:rtl w:val="0"/>
        </w:rPr>
        <w:t xml:space="preserve"> for employing a receptionist who was on the OIG exclusions list.</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Civil Litigation:</w:t>
      </w:r>
      <w:r w:rsidDel="00000000" w:rsidR="00000000" w:rsidRPr="00000000">
        <w:rPr>
          <w:rFonts w:ascii="Google Sans Text" w:cs="Google Sans Text" w:eastAsia="Google Sans Text" w:hAnsi="Google Sans Text"/>
          <w:color w:val="1b1c1d"/>
          <w:rtl w:val="0"/>
        </w:rPr>
        <w:t xml:space="preserve"> Beyond regulatory fines, the risk of civil litigation presents an even greater financial threat. Lawsuits alleging "negligent hiring" are particularly dangerous for healthcare organizations. According to legal experts, employers lose negligent hiring cases 75% of the time, and the average settlement for such claims is </w:t>
      </w:r>
      <w:r w:rsidDel="00000000" w:rsidR="00000000" w:rsidRPr="00000000">
        <w:rPr>
          <w:rFonts w:ascii="Google Sans Text" w:cs="Google Sans Text" w:eastAsia="Google Sans Text" w:hAnsi="Google Sans Text"/>
          <w:b w:val="1"/>
          <w:bCs w:val="1"/>
          <w:color w:val="1b1c1d"/>
          <w:rtl w:val="0"/>
        </w:rPr>
        <w:t xml:space="preserve">$1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A key case in the healthcare context, </w:t>
      </w:r>
      <w:r w:rsidDel="00000000" w:rsidR="00000000" w:rsidRPr="00000000">
        <w:rPr>
          <w:rFonts w:ascii="Google Sans Text" w:cs="Google Sans Text" w:eastAsia="Google Sans Text" w:hAnsi="Google Sans Text"/>
          <w:i w:val="1"/>
          <w:iCs w:val="1"/>
          <w:color w:val="1b1c1d"/>
          <w:rtl w:val="0"/>
        </w:rPr>
        <w:t xml:space="preserve">Deerings West Nursing Center v. Scott</w:t>
      </w:r>
      <w:r w:rsidDel="00000000" w:rsidR="00000000" w:rsidRPr="00000000">
        <w:rPr>
          <w:rFonts w:ascii="Google Sans Text" w:cs="Google Sans Text" w:eastAsia="Google Sans Text" w:hAnsi="Google Sans Text"/>
          <w:color w:val="1b1c1d"/>
          <w:rtl w:val="0"/>
        </w:rPr>
        <w:t xml:space="preserve">, found a nursing home liable for </w:t>
      </w:r>
      <w:r w:rsidDel="00000000" w:rsidR="00000000" w:rsidRPr="00000000">
        <w:rPr>
          <w:rFonts w:ascii="Google Sans Text" w:cs="Google Sans Text" w:eastAsia="Google Sans Text" w:hAnsi="Google Sans Text"/>
          <w:b w:val="1"/>
          <w:bCs w:val="1"/>
          <w:color w:val="1b1c1d"/>
          <w:rtl w:val="0"/>
        </w:rPr>
        <w:t xml:space="preserve">$235,000</w:t>
      </w:r>
      <w:r w:rsidDel="00000000" w:rsidR="00000000" w:rsidRPr="00000000">
        <w:rPr>
          <w:rFonts w:ascii="Google Sans Text" w:cs="Google Sans Text" w:eastAsia="Google Sans Text" w:hAnsi="Google Sans Text"/>
          <w:color w:val="1b1c1d"/>
          <w:rtl w:val="0"/>
        </w:rPr>
        <w:t xml:space="preserve"> for the negligent hiring of an unlicensed nurse with multiple prior criminal convictions who subsequently assaulted an 80-year-old visitor.</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Furthermore, healthcare organizations often operate under the dangerous illusion that using agency staff transfers liability. Legal precedent, however, suggests the opposite. Under the </w:t>
      </w:r>
      <w:r w:rsidDel="00000000" w:rsidR="00000000" w:rsidRPr="00000000">
        <w:rPr>
          <w:rFonts w:ascii="Google Sans Text" w:cs="Google Sans Text" w:eastAsia="Google Sans Text" w:hAnsi="Google Sans Text"/>
          <w:b w:val="1"/>
          <w:bCs w:val="1"/>
          <w:color w:val="1b1c1d"/>
          <w:rtl w:val="0"/>
        </w:rPr>
        <w:t xml:space="preserve">"lent employee" doctrine</w:t>
      </w:r>
      <w:r w:rsidDel="00000000" w:rsidR="00000000" w:rsidRPr="00000000">
        <w:rPr>
          <w:rFonts w:ascii="Google Sans Text" w:cs="Google Sans Text" w:eastAsia="Google Sans Text" w:hAnsi="Google Sans Text"/>
          <w:color w:val="1b1c1d"/>
          <w:rtl w:val="0"/>
        </w:rPr>
        <w:t xml:space="preserve">, the entity that exercises control over the manner in which an employee performs their work is considered the employer for the purposes of liability. The case of </w:t>
      </w:r>
      <w:r w:rsidDel="00000000" w:rsidR="00000000" w:rsidRPr="00000000">
        <w:rPr>
          <w:rFonts w:ascii="Google Sans Text" w:cs="Google Sans Text" w:eastAsia="Google Sans Text" w:hAnsi="Google Sans Text"/>
          <w:i w:val="1"/>
          <w:iCs w:val="1"/>
          <w:color w:val="1b1c1d"/>
          <w:rtl w:val="0"/>
        </w:rPr>
        <w:t xml:space="preserve">Ruelas v. Staff Builders Personnel Services, Inc.</w:t>
      </w:r>
      <w:r w:rsidDel="00000000" w:rsidR="00000000" w:rsidRPr="00000000">
        <w:rPr>
          <w:rFonts w:ascii="Google Sans Text" w:cs="Google Sans Text" w:eastAsia="Google Sans Text" w:hAnsi="Google Sans Text"/>
          <w:color w:val="1b1c1d"/>
          <w:rtl w:val="0"/>
        </w:rPr>
        <w:t xml:space="preserve"> provides a stark illustration.</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In this case, a patient sued a staffing agency for abuse allegedly committed by two of its nurses. The court, however, ruled in favor of the agency, finding that the healthcare facility—not the agency—was the liable employer because it supervised the nurses' clinical duties, informed them of their responsibilities, and provided the equipment for patient care. The agency's role was limited to administrative functions like pay and ensuring basic licensure.</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legal principle means that hospitals and health systems retain the primary legal and financial risk for the clinical negligence of temporary staff. The risk is not outsourced; it is compounded. The hospital pays a premium rate for the flexibility of agency staff while simultaneously shouldering the liability for any compliance or clinical failure committed by the agency or its employee. A hospital can find itself in the untenable position of paying a premium for a temporary worker, being fined by the OIG for that worker's excluded status, and losing a multi-million-dollar malpractice lawsuit stemming from that worker's actions—all while the agency that committed the original vetting failure remains largely insulated from the direct financial fallout.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Human Toll: Documented Failures and Adverse Patient Outcomes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the financial spreadsheets and legal filings lies the most devastating cost of compliance failures: the human toll of patient harm. When unqualified, incompetent, or fraudulent individuals are allowed to practice, the consequences can be catastrophic. High-profile incidents and scholarly research draw a clear, albeit sometimes indirect, line between poor vetting and adverse patient events.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most alarming recent example is </w:t>
      </w:r>
      <w:r w:rsidDel="00000000" w:rsidR="00000000" w:rsidRPr="00000000">
        <w:rPr>
          <w:rFonts w:ascii="Google Sans Text" w:cs="Google Sans Text" w:eastAsia="Google Sans Text" w:hAnsi="Google Sans Text"/>
          <w:b w:val="1"/>
          <w:bCs w:val="1"/>
          <w:color w:val="1b1c1d"/>
          <w:rtl w:val="0"/>
        </w:rPr>
        <w:t xml:space="preserve">"Operation Nightingale,"</w:t>
      </w:r>
      <w:r w:rsidDel="00000000" w:rsidR="00000000" w:rsidRPr="00000000">
        <w:rPr>
          <w:rFonts w:ascii="Google Sans Text" w:cs="Google Sans Text" w:eastAsia="Google Sans Text" w:hAnsi="Google Sans Text"/>
          <w:color w:val="1b1c1d"/>
          <w:rtl w:val="0"/>
        </w:rPr>
        <w:t xml:space="preserve"> a large-scale federal investigation that uncovered a massive scheme involving the sale of more than 7,600 fraudulent nursing diplomas and transcripts from several now-defunct Florida-based nursing schools.</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This scheme allowed individuals with no legitimate clinical training to obtain credentials that made them eligible to sit for the national nursing licensure exam (NCLEX). Thousands of individuals who purchased these fake diplomas went on to pass the exam and become licensed as Registered Nurses (RNs) and Licensed Practical/Vocational Nurses (LPN/LVNs), subsequently gaining employment in healthcare facilities across the country. State boards of nursing, such as the California Board of Registered Nursing, are now engaged in the painstaking process of identifying and investigating licensees who may have obtained their licenses through these fraudulent means.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scandal should be viewed by healthcare risk managers in the same way a cybersecurity expert views a "zero-day" software vulnerability. It represents a catastrophic failure of the system's most basic integrity checks. The individuals involved did not simply have a lapsed license or a minor disciplinary action; many possessed </w:t>
      </w:r>
      <w:r w:rsidDel="00000000" w:rsidR="00000000" w:rsidRPr="00000000">
        <w:rPr>
          <w:rFonts w:ascii="Google Sans Text" w:cs="Google Sans Text" w:eastAsia="Google Sans Text" w:hAnsi="Google Sans Text"/>
          <w:i w:val="1"/>
          <w:iCs w:val="1"/>
          <w:color w:val="1b1c1d"/>
          <w:rtl w:val="0"/>
        </w:rPr>
        <w:t xml:space="preserve">no legitimate clinical education whatsoever</w:t>
      </w:r>
      <w:r w:rsidDel="00000000" w:rsidR="00000000" w:rsidRPr="00000000">
        <w:rPr>
          <w:rFonts w:ascii="Google Sans Text" w:cs="Google Sans Text" w:eastAsia="Google Sans Text" w:hAnsi="Google Sans Text"/>
          <w:color w:val="1b1c1d"/>
          <w:rtl w:val="0"/>
        </w:rPr>
        <w:t xml:space="preserve">. The fact that thousands of such individuals could penetrate the nation's licensure and hiring systems reveals a fundamental flaw in the assumption that a valid state license automatically equates to baseline competence. This reality elevates the need for vetting beyond simple license verification to include more rigorous, primary-source verification of educational history for all clinicians, especially those from unfamiliar or unaccredited programs.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While "Operation Nightingale" represents an extreme case, other incidents of "fake nurses" regularly appear in news reports, such as the 2025 case of a Florida woman who was arrested after posing as a nurse and illegally treating more than 4,400 patients before being discovered.</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The Texas Board of Nursing has explicitly stated that the falsification of documents regarding patient care or credentials raises serious concerns about an individual's ability to provide safe nursing care.</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Scholarly research has also begun to quantify the link between the use of temporary staff and specific adverse patient outcomes.</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While the literature has not established a consistent negative relationship across all quality metrics, certain findings are concerning:</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 2010 study by Bae et al. found that nursing units with travel nurse utilization above 15% of total nursing hours reported an </w:t>
      </w:r>
      <w:r w:rsidDel="00000000" w:rsidR="00000000" w:rsidRPr="00000000">
        <w:rPr>
          <w:rFonts w:ascii="Google Sans Text" w:cs="Google Sans Text" w:eastAsia="Google Sans Text" w:hAnsi="Google Sans Text"/>
          <w:b w:val="1"/>
          <w:bCs w:val="1"/>
          <w:color w:val="1b1c1d"/>
          <w:rtl w:val="0"/>
        </w:rPr>
        <w:t xml:space="preserve">18.8% increase in patient falls</w:t>
      </w:r>
      <w:r w:rsidDel="00000000" w:rsidR="00000000" w:rsidRPr="00000000">
        <w:rPr>
          <w:rFonts w:ascii="Google Sans Text" w:cs="Google Sans Text" w:eastAsia="Google Sans Text" w:hAnsi="Google Sans Text"/>
          <w:color w:val="1b1c1d"/>
          <w:rtl w:val="0"/>
        </w:rPr>
        <w:t xml:space="preserve"> compared to units that used no travel nurses.</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 2011 study by Patrician et al. observed an adverse relationship between the percentage of contract staff and both patient falls and patient falls with injuries.</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While these studies focus on the </w:t>
      </w:r>
      <w:r w:rsidDel="00000000" w:rsidR="00000000" w:rsidRPr="00000000">
        <w:rPr>
          <w:rFonts w:ascii="Google Sans Text" w:cs="Google Sans Text" w:eastAsia="Google Sans Text" w:hAnsi="Google Sans Text"/>
          <w:i w:val="1"/>
          <w:iCs w:val="1"/>
          <w:color w:val="1b1c1d"/>
          <w:rtl w:val="0"/>
        </w:rPr>
        <w:t xml:space="preserve">quantity</w:t>
      </w:r>
      <w:r w:rsidDel="00000000" w:rsidR="00000000" w:rsidRPr="00000000">
        <w:rPr>
          <w:rFonts w:ascii="Google Sans Text" w:cs="Google Sans Text" w:eastAsia="Google Sans Text" w:hAnsi="Google Sans Text"/>
          <w:color w:val="1b1c1d"/>
          <w:rtl w:val="0"/>
        </w:rPr>
        <w:t xml:space="preserve"> of temporary staff rather than their vetted </w:t>
      </w:r>
      <w:r w:rsidDel="00000000" w:rsidR="00000000" w:rsidRPr="00000000">
        <w:rPr>
          <w:rFonts w:ascii="Google Sans Text" w:cs="Google Sans Text" w:eastAsia="Google Sans Text" w:hAnsi="Google Sans Text"/>
          <w:i w:val="1"/>
          <w:iCs w:val="1"/>
          <w:color w:val="1b1c1d"/>
          <w:rtl w:val="0"/>
        </w:rPr>
        <w:t xml:space="preserve">quality</w:t>
      </w:r>
      <w:r w:rsidDel="00000000" w:rsidR="00000000" w:rsidRPr="00000000">
        <w:rPr>
          <w:rFonts w:ascii="Google Sans Text" w:cs="Google Sans Text" w:eastAsia="Google Sans Text" w:hAnsi="Google Sans Text"/>
          <w:color w:val="1b1c1d"/>
          <w:rtl w:val="0"/>
        </w:rPr>
        <w:t xml:space="preserve">, the connection is logical. A failure in credentialing—such as allowing an individual with a fraudulent "Operation Nightingale" diploma to work—inherently places patients at an extreme and unacceptable risk of harm.</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Ripple Effect: Reputational Damage and Internal Disintegration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consequences of a public compliance failure extend far beyond the initial fines and lawsuits. The secondary and tertiary impacts on an organization's reputation, community trust, and internal staff morale can be equally, if not more, damaging in the long term.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Reputational Damage and Loss of Community Trust:</w:t>
      </w:r>
      <w:r w:rsidDel="00000000" w:rsidR="00000000" w:rsidRPr="00000000">
        <w:rPr>
          <w:rFonts w:ascii="Google Sans Text" w:cs="Google Sans Text" w:eastAsia="Google Sans Text" w:hAnsi="Google Sans Text"/>
          <w:color w:val="1b1c1d"/>
          <w:rtl w:val="0"/>
        </w:rPr>
        <w:t xml:space="preserve"> A hospital's reputation is one of its most valuable assets. Patients trust healthcare organizations to provide safe, ethical, and effective care. A public compliance failure—whether a massive data breach resulting from lax security or a "fake nurse" scandal—shatters that trust.</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This reputational damage is often the most difficult from which to recover. It can lead to a direct decrease in patient volume, difficulty in recruiting and retaining talented permanent staff, and damaged relationships with business partners and payers.</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Surveys have shown the tangible impact of such breaches of trust; one found that 66% of patients would consider changing healthcare providers if their personal information was compromised in a data breach caused by inadequate security measures.</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Internal Disintegration and Staff Burnout:</w:t>
      </w:r>
      <w:r w:rsidDel="00000000" w:rsidR="00000000" w:rsidRPr="00000000">
        <w:rPr>
          <w:rFonts w:ascii="Google Sans Text" w:cs="Google Sans Text" w:eastAsia="Google Sans Text" w:hAnsi="Google Sans Text"/>
          <w:color w:val="1b1c1d"/>
          <w:rtl w:val="0"/>
        </w:rPr>
        <w:t xml:space="preserve"> The introduction of poorly vetted or low-quality agency staff has a corrosive effect on the morale, cohesion, and stability of a hospital's permanent clinical workforce.</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This creates a destructive feedback loop that can destabilize entire care units.</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Increased Workload and Burnout:</w:t>
      </w:r>
      <w:r w:rsidDel="00000000" w:rsidR="00000000" w:rsidRPr="00000000">
        <w:rPr>
          <w:rFonts w:ascii="Google Sans Text" w:cs="Google Sans Text" w:eastAsia="Google Sans Text" w:hAnsi="Google Sans Text"/>
          <w:color w:val="1b1c1d"/>
          <w:rtl w:val="0"/>
        </w:rPr>
        <w:t xml:space="preserve"> Permanent staff are often forced to take on the additional, uncompensated workload of orienting, supervising, and correcting the errors of temporary staff who are unfamiliar with the facility's protocols, electronic health record, and patient population. This added responsibility leads to increased stress, job dissatisfaction, and burnout.</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Perceived Inequity:</w:t>
      </w:r>
      <w:r w:rsidDel="00000000" w:rsidR="00000000" w:rsidRPr="00000000">
        <w:rPr>
          <w:rFonts w:ascii="Google Sans Text" w:cs="Google Sans Text" w:eastAsia="Google Sans Text" w:hAnsi="Google Sans Text"/>
          <w:color w:val="1b1c1d"/>
          <w:rtl w:val="0"/>
        </w:rPr>
        <w:t xml:space="preserve"> The significant pay differentials between highly paid agency staff and salaried permanent employees can fuel resentment and a sense of inequity, especially when the temporary staff are perceived as less competent or less committed.</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Degraded Team Cohesion:</w:t>
      </w:r>
      <w:r w:rsidDel="00000000" w:rsidR="00000000" w:rsidRPr="00000000">
        <w:rPr>
          <w:rFonts w:ascii="Google Sans Text" w:cs="Google Sans Text" w:eastAsia="Google Sans Text" w:hAnsi="Google Sans Text"/>
          <w:color w:val="1b1c1d"/>
          <w:rtl w:val="0"/>
        </w:rPr>
        <w:t xml:space="preserve"> Constant churn of temporary workers hinders the development of the strong team dynamics, communication, and trust that are essential for high-quality care. This can diminish overall morale and organizational commitment among permanent staff.</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Increased Turnover:</w:t>
      </w:r>
      <w:r w:rsidDel="00000000" w:rsidR="00000000" w:rsidRPr="00000000">
        <w:rPr>
          <w:rFonts w:ascii="Google Sans Text" w:cs="Google Sans Text" w:eastAsia="Google Sans Text" w:hAnsi="Google Sans Text"/>
          <w:color w:val="1b1c1d"/>
          <w:rtl w:val="0"/>
        </w:rPr>
        <w:t xml:space="preserve"> The cumulative effect of these factors is an increase in turnover among experienced, permanent staff. A longitudinal analysis of nursing homes found that facilities with high utilization of agency nurses had significantly higher turnover rates among their permanent Registered Nurses (a 7% increase) and Certified Nursing Assistants (a 1.9% increase) compared to facilities with low agency utilization.</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dynamic creates a vicious cycle of staffing instability. A hospital facing a shortage hires agency nurses from a low-cost, low-compliance vendor. The poor quality of these temporary workers increases the burden on permanent staff, leading to burnout and turnover. This, in turn, worsens the original staffing shortage, forcing the hospital to become even more reliant on agency staff. The short-term "solution" becomes a long-term driver of the underlying problem, trapping the organization in a cycle of instability, high costs, and elevated risk.</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degradation of team cohesion has a direct, albeit sometimes indirect, impact on patient satisfaction metrics like the </w:t>
      </w:r>
      <w:r w:rsidDel="00000000" w:rsidR="00000000" w:rsidRPr="00000000">
        <w:rPr>
          <w:rFonts w:ascii="Google Sans Text" w:cs="Google Sans Text" w:eastAsia="Google Sans Text" w:hAnsi="Google Sans Text"/>
          <w:b w:val="1"/>
          <w:bCs w:val="1"/>
          <w:color w:val="1b1c1d"/>
          <w:rtl w:val="0"/>
        </w:rPr>
        <w:t xml:space="preserve">Hospital Consumer Assessment of Healthcare Providers and Systems (HCAHPS)</w:t>
      </w:r>
      <w:r w:rsidDel="00000000" w:rsidR="00000000" w:rsidRPr="00000000">
        <w:rPr>
          <w:rFonts w:ascii="Google Sans Text" w:cs="Google Sans Text" w:eastAsia="Google Sans Text" w:hAnsi="Google Sans Text"/>
          <w:color w:val="1b1c1d"/>
          <w:rtl w:val="0"/>
        </w:rPr>
        <w:t xml:space="preserve"> survey. While one cross-sectional study found little direct association between the </w:t>
      </w:r>
      <w:r w:rsidDel="00000000" w:rsidR="00000000" w:rsidRPr="00000000">
        <w:rPr>
          <w:rFonts w:ascii="Google Sans Text" w:cs="Google Sans Text" w:eastAsia="Google Sans Text" w:hAnsi="Google Sans Text"/>
          <w:i w:val="1"/>
          <w:iCs w:val="1"/>
          <w:color w:val="1b1c1d"/>
          <w:rtl w:val="0"/>
        </w:rPr>
        <w:t xml:space="preserve">percentage</w:t>
      </w:r>
      <w:r w:rsidDel="00000000" w:rsidR="00000000" w:rsidRPr="00000000">
        <w:rPr>
          <w:rFonts w:ascii="Google Sans Text" w:cs="Google Sans Text" w:eastAsia="Google Sans Text" w:hAnsi="Google Sans Text"/>
          <w:color w:val="1b1c1d"/>
          <w:rtl w:val="0"/>
        </w:rPr>
        <w:t xml:space="preserve"> of agency nurses and HCAHPS scores </w:t>
      </w:r>
      <w:r w:rsidDel="00000000" w:rsidR="00000000" w:rsidRPr="00000000">
        <w:rPr>
          <w:rFonts w:ascii="Google Sans Text" w:cs="Google Sans Text" w:eastAsia="Google Sans Text" w:hAnsi="Google Sans Text"/>
          <w:color w:val="444746"/>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the indirect effects are undeniable. Data from Press Ganey shows that the single largest driver of a patient's likelihood to recommend a hospital is their perception of how well the care team works together.</w:t>
      </w:r>
      <w:r w:rsidDel="00000000" w:rsidR="00000000" w:rsidRPr="00000000">
        <w:rPr>
          <w:rFonts w:ascii="Google Sans Text" w:cs="Google Sans Text" w:eastAsia="Google Sans Text" w:hAnsi="Google Sans Text"/>
          <w:color w:val="444746"/>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Therefore, any factor that degrades team cohesion—such as the constant churn of poorly integrated and low-quality agency staff—will logically and inevitably have a negative impact on patient experience and HCAHPS scores over time, which can directly affect Medicare reimbursement under the Value-Based Purchasing program.</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Case/Study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Type of 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Direct Financial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Clinical/Patient Safety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Reputational/Internal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OIG vs. Sharp Healthcare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Employing an excluded individual hired via an agency.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$153,072</w:t>
            </w:r>
            <w:r w:rsidDel="00000000" w:rsidR="00000000" w:rsidRPr="00000000">
              <w:rPr>
                <w:rFonts w:ascii="Google Sans Text" w:cs="Google Sans Text" w:eastAsia="Google Sans Text" w:hAnsi="Google Sans Text"/>
                <w:color w:val="1b1c1d"/>
                <w:shd w:fill="auto" w:val="clear"/>
                <w:rtl w:val="0"/>
              </w:rPr>
              <w:t xml:space="preserve"> fine paid by the hospital.</w:t>
            </w:r>
            <w:r w:rsidDel="00000000" w:rsidR="00000000" w:rsidRPr="00000000">
              <w:rPr>
                <w:rFonts w:ascii="Google Sans Text" w:cs="Google Sans Text" w:eastAsia="Google Sans Text" w:hAnsi="Google Sans Text"/>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Billing for services rendered by a provider deemed unfit for federal programs.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Negative association with federal fraud and abuse enforcement actions.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1"/>
                <w:iCs w:val="1"/>
                <w:color w:val="1b1c1d"/>
                <w:shd w:fill="auto" w:val="clear"/>
              </w:rPr>
            </w:pPr>
            <w:r w:rsidDel="00000000" w:rsidR="00000000" w:rsidRPr="00000000">
              <w:rPr>
                <w:rFonts w:ascii="Google Sans Text" w:cs="Google Sans Text" w:eastAsia="Google Sans Text" w:hAnsi="Google Sans Text"/>
                <w:b w:val="1"/>
                <w:bCs w:val="1"/>
                <w:i w:val="1"/>
                <w:iCs w:val="1"/>
                <w:color w:val="1b1c1d"/>
                <w:shd w:fill="auto" w:val="clear"/>
                <w:rtl w:val="0"/>
              </w:rPr>
              <w:t xml:space="preserve">Deerings West Nursing Center v. Scott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Negligent hiring of an unlicensed nurse with a criminal record.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$235,000</w:t>
            </w:r>
            <w:r w:rsidDel="00000000" w:rsidR="00000000" w:rsidRPr="00000000">
              <w:rPr>
                <w:rFonts w:ascii="Google Sans Text" w:cs="Google Sans Text" w:eastAsia="Google Sans Text" w:hAnsi="Google Sans Text"/>
                <w:color w:val="1b1c1d"/>
                <w:shd w:fill="auto" w:val="clear"/>
                <w:rtl w:val="0"/>
              </w:rPr>
              <w:t xml:space="preserve"> liability for the nursing home.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80-year-old visitor was assaulted by the negligently hired staff member.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 legal precedent for failure to conduct adequate background checks.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"Operation Nightingale"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Systemic failure allowing individuals with fraudulent nursing diplomas to become licensed.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Unquantified, but massive costs for state boards and employers to investigate and re-verify thousands of licenses.</w:t>
            </w: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Thousands of completely unqualified individuals provided direct patient care, representing a catastrophic risk of harm.</w:t>
            </w: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Severe erosion of public trust in the integrity of nursing licensure and hospital hiring processes.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Bae et al. (2010) Study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utilization of temporary agency nurses (&gt;15% of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Increased costs associated with higher rates of adverse events.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18.8% increase in patient falls</w:t>
            </w:r>
            <w:r w:rsidDel="00000000" w:rsidR="00000000" w:rsidRPr="00000000">
              <w:rPr>
                <w:rFonts w:ascii="Google Sans Text" w:cs="Google Sans Text" w:eastAsia="Google Sans Text" w:hAnsi="Google Sans Text"/>
                <w:color w:val="1b1c1d"/>
                <w:shd w:fill="auto" w:val="clear"/>
                <w:rtl w:val="0"/>
              </w:rPr>
              <w:t xml:space="preserve"> on units with high agency nurse utilization.</w:t>
            </w:r>
            <w:r w:rsidDel="00000000" w:rsidR="00000000" w:rsidRPr="00000000">
              <w:rPr>
                <w:rFonts w:ascii="Google Sans Text" w:cs="Google Sans Text" w:eastAsia="Google Sans Text" w:hAnsi="Google Sans Text"/>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(Scholarly Study).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Longitudinal Study on Staff Turnover (PMC11855161)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utilization of agency nursing staff in nursing homes.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Increased costs associated with higher staff turnover (recruitment, onboarding).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Lower quality of care is linked to agency use, which can be demoralizing for permanent staff.</w:t>
            </w:r>
            <w:r w:rsidDel="00000000" w:rsidR="00000000" w:rsidRPr="00000000">
              <w:rPr>
                <w:rFonts w:ascii="Google Sans Text" w:cs="Google Sans Text" w:eastAsia="Google Sans Text" w:hAnsi="Google Sans Text"/>
                <w:color w:val="444746"/>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7% higher turnover</w:t>
            </w:r>
            <w:r w:rsidDel="00000000" w:rsidR="00000000" w:rsidRPr="00000000">
              <w:rPr>
                <w:rFonts w:ascii="Google Sans Text" w:cs="Google Sans Text" w:eastAsia="Google Sans Text" w:hAnsi="Google Sans Text"/>
                <w:color w:val="1b1c1d"/>
                <w:shd w:fill="auto" w:val="clear"/>
                <w:rtl w:val="0"/>
              </w:rPr>
              <w:t xml:space="preserve"> for permanent RNs; </w:t>
            </w:r>
            <w:r w:rsidDel="00000000" w:rsidR="00000000" w:rsidRPr="00000000">
              <w:rPr>
                <w:rFonts w:ascii="Google Sans Text" w:cs="Google Sans Text" w:eastAsia="Google Sans Text" w:hAnsi="Google Sans Text"/>
                <w:b w:val="1"/>
                <w:bCs w:val="1"/>
                <w:color w:val="1b1c1d"/>
                <w:shd w:fill="auto" w:val="clear"/>
                <w:rtl w:val="0"/>
              </w:rPr>
              <w:t xml:space="preserve">1.9% higher turnover</w:t>
            </w:r>
            <w:r w:rsidDel="00000000" w:rsidR="00000000" w:rsidRPr="00000000">
              <w:rPr>
                <w:rFonts w:ascii="Google Sans Text" w:cs="Google Sans Text" w:eastAsia="Google Sans Text" w:hAnsi="Google Sans Text"/>
                <w:color w:val="1b1c1d"/>
                <w:shd w:fill="auto" w:val="clear"/>
                <w:rtl w:val="0"/>
              </w:rPr>
              <w:t xml:space="preserve"> for CNAs; diminished morale and team cohesion.</w:t>
            </w:r>
            <w:r w:rsidDel="00000000" w:rsidR="00000000" w:rsidRPr="00000000">
              <w:rPr>
                <w:rFonts w:ascii="Google Sans Text" w:cs="Google Sans Text" w:eastAsia="Google Sans Text" w:hAnsi="Google Sans Text"/>
                <w:color w:val="444746"/>
                <w:sz w:val="24"/>
                <w:szCs w:val="24"/>
                <w:vertAlign w:val="superscript"/>
                <w:rtl w:val="0"/>
              </w:rPr>
              <w:t xml:space="preserve">45</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III: Engineering a Proactive Compliance Framework: From Risk Mitigation to Strategic Advantage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evidence presented makes it clear that a reactive, "check-the-box" approach to staffing agency compliance is an inadequate and dangerous strategy. To effectively mitigate the multifaceted risks of fines, lawsuits, patient harm, and reputational damage, healthcare organizations must demand and help engineer a proactive compliance framework. This modern paradigm shifts the focus from periodic, manual checks to continuous, automated verification, and expands the definition of "compliance" to include not only hard credentials but also the soft skills that are critical to patient safety. Adopting this framework is not merely a defensive measure; it is a strategic investment that yields a significant and measurable return through enhanced safety, operational efficiency, and revenue protection.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Proactive Paradigm: Principles of Continuous Verification and Monitoring</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proactive compliance framework is built on a foundation of centralization, automation, and continuous oversight. It moves beyond the flawed model of one-time checks to create a system of perpetual readiness. The best practices for establishing such a program are clear and technologically enabled.</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Centralization of Data:</w:t>
      </w:r>
      <w:r w:rsidDel="00000000" w:rsidR="00000000" w:rsidRPr="00000000">
        <w:rPr>
          <w:rFonts w:ascii="Google Sans Text" w:cs="Google Sans Text" w:eastAsia="Google Sans Text" w:hAnsi="Google Sans Text"/>
          <w:color w:val="1b1c1d"/>
          <w:rtl w:val="0"/>
        </w:rPr>
        <w:t xml:space="preserve"> Instead of managing credentials across disparate spreadsheets and email folders, all documentation—from licenses and board certifications to work history and insurance information—should be consolidated into a single, secure, digital platform. This creates a single source of truth for each clinician, eliminating the risk of misplaced files and providing clear visibility into the compliance status of the entire workforce.</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Automation of Routine Tasks:</w:t>
      </w:r>
      <w:r w:rsidDel="00000000" w:rsidR="00000000" w:rsidRPr="00000000">
        <w:rPr>
          <w:rFonts w:ascii="Google Sans Text" w:cs="Google Sans Text" w:eastAsia="Google Sans Text" w:hAnsi="Google Sans Text"/>
          <w:color w:val="1b1c1d"/>
          <w:rtl w:val="0"/>
        </w:rPr>
        <w:t xml:space="preserve"> Technology is the engine of a proactive framework. Automated systems can handle routine compliance activities such as primary source verification, managing reports, tracking expirations, and sending alerts. This dramatically reduces the potential for human error, frees up administrative staff for higher-value tasks, and ensures consistency in the process.</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Continuous Monitoring:</w:t>
      </w:r>
      <w:r w:rsidDel="00000000" w:rsidR="00000000" w:rsidRPr="00000000">
        <w:rPr>
          <w:rFonts w:ascii="Google Sans Text" w:cs="Google Sans Text" w:eastAsia="Google Sans Text" w:hAnsi="Google Sans Text"/>
          <w:color w:val="1b1c1d"/>
          <w:rtl w:val="0"/>
        </w:rPr>
        <w:t xml:space="preserve"> The cornerstone of the proactive paradigm is the transition from periodic checks to continuous, real-time monitoring. This involves using technology that constantly queries primary sources—such as state licensing boards and federal/state exclusion lists—for any changes in a clinician's status. When a change occurs, such as a license suspension or an addition to an exclusion list, the system generates an immediate alert, allowing the organization to take swift action and eliminate the dangerous compliance gaps inherent in manual, periodic reviews.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Ongoing Professional Practice Evaluation (OPPE):</w:t>
      </w:r>
      <w:r w:rsidDel="00000000" w:rsidR="00000000" w:rsidRPr="00000000">
        <w:rPr>
          <w:rFonts w:ascii="Google Sans Text" w:cs="Google Sans Text" w:eastAsia="Google Sans Text" w:hAnsi="Google Sans Text"/>
          <w:color w:val="1b1c1d"/>
          <w:rtl w:val="0"/>
        </w:rPr>
        <w:t xml:space="preserve"> Credentialing is not a one-time event at the point of hire. An "audit-proof" program incorporates the principles of OPPE, which involves the continuous tracking of performance metrics, incident reports, patient feedback, and other quality indicators. This data is used for regular performance reviews and is a critical component of the re-credentialing process, which TJC requires at least every two years.</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Business Case for Automation: A Data-Driven ROI Analysis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executive leadership, the most compelling argument for investing in a modern, automated compliance framework lies in its clear and substantial return on investment (ROI). Traditionally viewed as a cost center, a technologically advanced compliance program is, in fact, a powerful revenue-enabling and revenue-protecting asset. The financial gains from accelerated onboarding, reduced claim denials, and mitigated risk far outweigh the costs of implementation.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Direct Cost Savings (Reduced Labor and Risk Avoidance):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Manual credentialing is an expensive, labor-intensive process. Automated systems generate significant operational savings by reducing this administrative burden. The cost of manually monitoring and maintaining credentials for each staff member in a nursing home is estimated to be between $90 and $150 annually.58 One financial model comparing in-house manual processes to an outsourced credentialing service for a 10-provider practice found a reduction in annual costs from $84,500 to just $16,800—a direct saving of nearly $68,000.59 Beyond labor, the greatest cost saving comes from risk avoidance. An automated system that provides continuous monitoring and comprehensive screening can reduce the probability of incurring regulatory penalties or fines by an estimated 60%.60</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Revenue Acceleration (Faster Provider Onboarding):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healthcare, time is revenue. Every day that a physician or clinician is sidelined by credentialing delays is a day of lost revenue for the health system. Conservative estimates place this lost revenue at $6,000 to $10,000 per provider, per day.61 Manual credentialing processes can take anywhere from 90 to 180 days.61 In contrast, an API-first, automated credentialing platform can reduce this timeline by up to 97%, potentially shortening the process to as little as five days. For a single provider, this acceleration can recoup over $1.75 million in otherwise forfeited revenue.63</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Revenue Protection (Fewer Claim Denials):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Inaccurate or outdated provider credentialing information is a leading cause of claim denials. One analysis of 102 million claim remits found that roughly $400 million in claims were denied due to provider eligibility issues.63 AI-powered compliance systems ensure that provider data remains accurate and in good standing with payers by cross-referencing information and flagging inconsistencies instantly. This proactive data management has been shown to reduce claim denials by as much as 40%, protecting revenue streams and improving the clean claims rate.64</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data reframes the entire conversation around compliance. The investment in an automated system is not an expense to be minimized, but a strategic tool for maximizing financial performance. The system pays for itself multiple times over through direct cost savings, the acceleration of millions in revenue, and the protection of existing reimbursement channels.</w:t>
      </w:r>
    </w:p>
    <w:tbl>
      <w:tblPr>
        <w:tblStyle w:val="Table3"/>
        <w:tblW w:w="9360.0" w:type="dxa"/>
        <w:jc w:val="left"/>
        <w:tblLayout w:type="fixed"/>
        <w:tblLook w:val="06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ROI Calculation Model for Automated Compliance Technology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 Cost Savings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Reduced Administrative Labor:</w:t>
            </w:r>
            <w:r w:rsidDel="00000000" w:rsidR="00000000" w:rsidRPr="00000000">
              <w:rPr>
                <w:rFonts w:ascii="Google Sans Text" w:cs="Google Sans Text" w:eastAsia="Google Sans Text" w:hAnsi="Google Sans Text"/>
                <w:color w:val="1b1c1d"/>
                <w:shd w:fill="auto" w:val="clear"/>
                <w:rtl w:val="0"/>
              </w:rPr>
              <w:t xml:space="preserve"> (Number of Clinicians) x (Avg. Annual Manual Mgt. Cost per Clinician) - (Software/Service Cost) = </w:t>
            </w:r>
            <w:r w:rsidDel="00000000" w:rsidR="00000000" w:rsidRPr="00000000">
              <w:rPr>
                <w:rFonts w:ascii="Google Sans Text" w:cs="Google Sans Text" w:eastAsia="Google Sans Text" w:hAnsi="Google Sans Text"/>
                <w:i w:val="1"/>
                <w:iCs w:val="1"/>
                <w:color w:val="1b1c1d"/>
                <w:shd w:fill="auto" w:val="clear"/>
                <w:rtl w:val="0"/>
              </w:rPr>
              <w:t xml:space="preserve">Annual Labor Savings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Avoided Fines/Penalties:</w:t>
            </w:r>
            <w:r w:rsidDel="00000000" w:rsidR="00000000" w:rsidRPr="00000000">
              <w:rPr>
                <w:rFonts w:ascii="Google Sans Text" w:cs="Google Sans Text" w:eastAsia="Google Sans Text" w:hAnsi="Google Sans Text"/>
                <w:color w:val="1b1c1d"/>
                <w:shd w:fill="auto" w:val="clear"/>
                <w:rtl w:val="0"/>
              </w:rPr>
              <w:t xml:space="preserve"> (Probability of Fine) x (Avg. Fine Amount) x (60% Risk Reduction) = </w:t>
            </w:r>
            <w:r w:rsidDel="00000000" w:rsidR="00000000" w:rsidRPr="00000000">
              <w:rPr>
                <w:rFonts w:ascii="Google Sans Text" w:cs="Google Sans Text" w:eastAsia="Google Sans Text" w:hAnsi="Google Sans Text"/>
                <w:i w:val="1"/>
                <w:iCs w:val="1"/>
                <w:color w:val="1b1c1d"/>
                <w:shd w:fill="auto" w:val="clear"/>
                <w:rtl w:val="0"/>
              </w:rPr>
              <w:t xml:space="preserve">Annual Risk Mitigation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2. Revenue Acceleration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Reduced Onboarding Time:</w:t>
            </w:r>
            <w:r w:rsidDel="00000000" w:rsidR="00000000" w:rsidRPr="00000000">
              <w:rPr>
                <w:rFonts w:ascii="Google Sans Text" w:cs="Google Sans Text" w:eastAsia="Google Sans Text" w:hAnsi="Google Sans Text"/>
                <w:color w:val="1b1c1d"/>
                <w:shd w:fill="auto" w:val="clear"/>
                <w:rtl w:val="0"/>
              </w:rPr>
              <w:t xml:space="preserve"> (Avg. Manual Credentialing Days - 5) x (Avg. Daily Provider Revenue) x (Number of New Hires) = </w:t>
            </w:r>
            <w:r w:rsidDel="00000000" w:rsidR="00000000" w:rsidRPr="00000000">
              <w:rPr>
                <w:rFonts w:ascii="Google Sans Text" w:cs="Google Sans Text" w:eastAsia="Google Sans Text" w:hAnsi="Google Sans Text"/>
                <w:i w:val="1"/>
                <w:iCs w:val="1"/>
                <w:color w:val="1b1c1d"/>
                <w:shd w:fill="auto" w:val="clear"/>
                <w:rtl w:val="0"/>
              </w:rPr>
              <w:t xml:space="preserve">Annual Accelerated Revenue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3. Revenue Protection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Reduced Claim Denials:</w:t>
            </w:r>
            <w:r w:rsidDel="00000000" w:rsidR="00000000" w:rsidRPr="00000000">
              <w:rPr>
                <w:rFonts w:ascii="Google Sans Text" w:cs="Google Sans Text" w:eastAsia="Google Sans Text" w:hAnsi="Google Sans Text"/>
                <w:color w:val="1b1c1d"/>
                <w:shd w:fill="auto" w:val="clear"/>
                <w:rtl w:val="0"/>
              </w:rPr>
              <w:t xml:space="preserve"> (Total Annual Claims Value) x (Current Denial Rate for Eligibility) x (40% Denial Reduction) = </w:t>
            </w:r>
            <w:r w:rsidDel="00000000" w:rsidR="00000000" w:rsidRPr="00000000">
              <w:rPr>
                <w:rFonts w:ascii="Google Sans Text" w:cs="Google Sans Text" w:eastAsia="Google Sans Text" w:hAnsi="Google Sans Text"/>
                <w:i w:val="1"/>
                <w:iCs w:val="1"/>
                <w:color w:val="1b1c1d"/>
                <w:shd w:fill="auto" w:val="clear"/>
                <w:rtl w:val="0"/>
              </w:rPr>
              <w:t xml:space="preserve">Annual Protected Revenue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Total Annual ROI = (Sum of Savings, Accelerated &amp; Protected Revenue) - (Software/Service Cost)</w:t>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Building an Audit-Proof Program: A Framework for Continuous TJC Readiness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Achieving a state of continuous compliance readiness is essential to succeeding in an environment of unannounced Joint Commission surveys. An "audit-proof" program is not one that crams for an inspection but one that embeds compliance into its daily culture and operations.</w:t>
      </w:r>
      <w:r w:rsidDel="00000000" w:rsidR="00000000" w:rsidRPr="00000000">
        <w:rPr>
          <w:rFonts w:ascii="Google Sans Text" w:cs="Google Sans Text" w:eastAsia="Google Sans Text" w:hAnsi="Google Sans Text"/>
          <w:color w:val="444746"/>
          <w:sz w:val="24"/>
          <w:szCs w:val="24"/>
          <w:vertAlign w:val="superscript"/>
          <w:rtl w:val="0"/>
        </w:rPr>
        <w:t xml:space="preserve">66</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foundation of such a program includes several core components: clearly written policies and procedures, a designated and empowered compliance officer, effective and ongoing staff training, open lines of communication for reporting concerns, a robust internal monitoring and auditing process, and consistently enforced disciplinary standards for non-compliance.</w:t>
      </w:r>
      <w:r w:rsidDel="00000000" w:rsidR="00000000" w:rsidRPr="00000000">
        <w:rPr>
          <w:rFonts w:ascii="Google Sans Text" w:cs="Google Sans Text" w:eastAsia="Google Sans Text" w:hAnsi="Google Sans Text"/>
          <w:color w:val="444746"/>
          <w:sz w:val="24"/>
          <w:szCs w:val="24"/>
          <w:vertAlign w:val="superscript"/>
          <w:rtl w:val="0"/>
        </w:rPr>
        <w:t xml:space="preserve">54</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Given TJC's focus on documentation and its "tracer methodology," a state of perpetual readiness requires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Pristine and Centralized Documentation:</w:t>
      </w:r>
      <w:r w:rsidDel="00000000" w:rsidR="00000000" w:rsidRPr="00000000">
        <w:rPr>
          <w:rFonts w:ascii="Google Sans Text" w:cs="Google Sans Text" w:eastAsia="Google Sans Text" w:hAnsi="Google Sans Text"/>
          <w:color w:val="1b1c1d"/>
          <w:rtl w:val="0"/>
        </w:rPr>
        <w:t xml:space="preserve"> Every provider file must be complete, up-to-date, and immediately accessible. This includes applications, all primary source verifications, committee review minutes, delineation of privileges forms, and ongoing performance data (OPPE/FPPE).</w:t>
      </w:r>
      <w:r w:rsidDel="00000000" w:rsidR="00000000" w:rsidRPr="00000000">
        <w:rPr>
          <w:rFonts w:ascii="Google Sans Text" w:cs="Google Sans Text" w:eastAsia="Google Sans Text" w:hAnsi="Google Sans Text"/>
          <w:color w:val="444746"/>
          <w:sz w:val="24"/>
          <w:szCs w:val="24"/>
          <w:vertAlign w:val="superscript"/>
          <w:rtl w:val="0"/>
        </w:rPr>
        <w:t xml:space="preserve">57</w:t>
      </w:r>
      <w:r w:rsidDel="00000000" w:rsidR="00000000" w:rsidRPr="00000000">
        <w:rPr>
          <w:rFonts w:ascii="Google Sans Text" w:cs="Google Sans Text" w:eastAsia="Google Sans Text" w:hAnsi="Google Sans Text"/>
          <w:color w:val="1b1c1d"/>
          <w:rtl w:val="0"/>
        </w:rPr>
        <w:t xml:space="preserve"> Digital systems are essential for managing this effectively.</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Regular Internal Audits and Mock Surveys:</w:t>
      </w:r>
      <w:r w:rsidDel="00000000" w:rsidR="00000000" w:rsidRPr="00000000">
        <w:rPr>
          <w:rFonts w:ascii="Google Sans Text" w:cs="Google Sans Text" w:eastAsia="Google Sans Text" w:hAnsi="Google Sans Text"/>
          <w:color w:val="1b1c1d"/>
          <w:rtl w:val="0"/>
        </w:rPr>
        <w:t xml:space="preserve"> The most effective way to prepare for a survey is to simulate one. Organizations should conduct regular mock surveys, using either a dedicated internal team or external consultants, to identify systemic issues and gaps in compliance before official surveyors arrive. Resources like TJC's </w:t>
      </w:r>
      <w:r w:rsidDel="00000000" w:rsidR="00000000" w:rsidRPr="00000000">
        <w:rPr>
          <w:rFonts w:ascii="Google Sans Text" w:cs="Google Sans Text" w:eastAsia="Google Sans Text" w:hAnsi="Google Sans Text"/>
          <w:i w:val="1"/>
          <w:iCs w:val="1"/>
          <w:color w:val="1b1c1d"/>
          <w:rtl w:val="0"/>
        </w:rPr>
        <w:t xml:space="preserve">Hospital Compliance Assessment Workbook</w:t>
      </w:r>
      <w:r w:rsidDel="00000000" w:rsidR="00000000" w:rsidRPr="00000000">
        <w:rPr>
          <w:rFonts w:ascii="Google Sans Text" w:cs="Google Sans Text" w:eastAsia="Google Sans Text" w:hAnsi="Google Sans Text"/>
          <w:color w:val="1b1c1d"/>
          <w:rtl w:val="0"/>
        </w:rPr>
        <w:t xml:space="preserve"> can provide templates and frameworks for these internal audits.</w:t>
      </w:r>
      <w:r w:rsidDel="00000000" w:rsidR="00000000" w:rsidRPr="00000000">
        <w:rPr>
          <w:rFonts w:ascii="Google Sans Text" w:cs="Google Sans Text" w:eastAsia="Google Sans Text" w:hAnsi="Google Sans Text"/>
          <w:color w:val="444746"/>
          <w:sz w:val="24"/>
          <w:szCs w:val="24"/>
          <w:vertAlign w:val="superscript"/>
          <w:rtl w:val="0"/>
        </w:rPr>
        <w:t xml:space="preserve">66</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Leveraging Technology for Real-Time Oversight:</w:t>
      </w:r>
      <w:r w:rsidDel="00000000" w:rsidR="00000000" w:rsidRPr="00000000">
        <w:rPr>
          <w:rFonts w:ascii="Google Sans Text" w:cs="Google Sans Text" w:eastAsia="Google Sans Text" w:hAnsi="Google Sans Text"/>
          <w:color w:val="1b1c1d"/>
          <w:rtl w:val="0"/>
        </w:rPr>
        <w:t xml:space="preserve"> An audit-proof state is unattainable without technology. Automated compliance platforms provide real-time dashboards that can track training completion, monitor for license and certification expirations, flag new exclusion list entries, and aggregate performance data. This gives leadership an at-a-glance view of the organization's compliance posture at any given moment, ensuring there are no surprises during a survey.</w:t>
      </w:r>
      <w:r w:rsidDel="00000000" w:rsidR="00000000" w:rsidRPr="00000000">
        <w:rPr>
          <w:rFonts w:ascii="Google Sans Text" w:cs="Google Sans Text" w:eastAsia="Google Sans Text" w:hAnsi="Google Sans Text"/>
          <w:color w:val="444746"/>
          <w:sz w:val="24"/>
          <w:szCs w:val="24"/>
          <w:vertAlign w:val="superscript"/>
          <w:rtl w:val="0"/>
        </w:rPr>
        <w:t xml:space="preserve">66</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Compassionate Compliance: Integrating Soft Skills and Cultural Fit as a Unified Risk Strategy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advanced and effective compliance frameworks recognize that risk is not limited to fraudulent credentials or lapsed licenses. A significant portion of clinical risk stems from behavioral factors and interpersonal dynamics. Therefore, a truly holistic vetting process must integrate "compassionate compliance"—the assessment of soft skills and cultural fit—with traditional "hard compliance" checks as a unified risk-management strategy.</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data connecting soft skills to patient safety is compelling. One analysis found that </w:t>
      </w:r>
      <w:r w:rsidDel="00000000" w:rsidR="00000000" w:rsidRPr="00000000">
        <w:rPr>
          <w:rFonts w:ascii="Google Sans Text" w:cs="Google Sans Text" w:eastAsia="Google Sans Text" w:hAnsi="Google Sans Text"/>
          <w:b w:val="1"/>
          <w:bCs w:val="1"/>
          <w:color w:val="1b1c1d"/>
          <w:rtl w:val="0"/>
        </w:rPr>
        <w:t xml:space="preserve">communication errors were a significant contributing factor in 70% of adverse events</w:t>
      </w:r>
      <w:r w:rsidDel="00000000" w:rsidR="00000000" w:rsidRPr="00000000">
        <w:rPr>
          <w:rFonts w:ascii="Google Sans Text" w:cs="Google Sans Text" w:eastAsia="Google Sans Text" w:hAnsi="Google Sans Text"/>
          <w:color w:val="1b1c1d"/>
          <w:rtl w:val="0"/>
        </w:rPr>
        <w:t xml:space="preserve"> in healthcare settings.</w:t>
      </w:r>
      <w:r w:rsidDel="00000000" w:rsidR="00000000" w:rsidRPr="00000000">
        <w:rPr>
          <w:rFonts w:ascii="Google Sans Text" w:cs="Google Sans Text" w:eastAsia="Google Sans Text" w:hAnsi="Google Sans Text"/>
          <w:color w:val="444746"/>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 Soft skills such as empathy, active listening, teamwork, and adaptability are not merely "nice-to-have" attributes; they are essential competencies for delivering safe and effective patient care.</w:t>
      </w:r>
      <w:r w:rsidDel="00000000" w:rsidR="00000000" w:rsidRPr="00000000">
        <w:rPr>
          <w:rFonts w:ascii="Google Sans Text" w:cs="Google Sans Text" w:eastAsia="Google Sans Text" w:hAnsi="Google Sans Text"/>
          <w:color w:val="444746"/>
          <w:sz w:val="24"/>
          <w:szCs w:val="24"/>
          <w:vertAlign w:val="superscript"/>
          <w:rtl w:val="0"/>
        </w:rPr>
        <w:t xml:space="preserve">69</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Similarly, an organization's "culture of safety" is a powerful predictor of outcomes. A positive safety culture—characterized by leadership commitment, open communication, and effective teamwork—is directly associated with fewer adverse events, lower patient mortality, and higher patient satisfaction scores.</w:t>
      </w:r>
      <w:r w:rsidDel="00000000" w:rsidR="00000000" w:rsidRPr="00000000">
        <w:rPr>
          <w:rFonts w:ascii="Google Sans Text" w:cs="Google Sans Text" w:eastAsia="Google Sans Text" w:hAnsi="Google Sans Text"/>
          <w:color w:val="444746"/>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Indeed, Press Ganey data has identified patient perception of caregiver teamwork as the single largest driver of their overall experience and likelihood to recommend a hospital.</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evidence suggests that a clinician's soft skills are a powerful leading indicator of clinical risk. A clinician with flawless technical credentials but poor communication skills, low empathy, and an inability to collaborate is a latent safety threat. Their behavior is more likely to lead to a communication breakdown causing an adverse event, generate patient complaints that can escalate to lawsuits, and degrade unit morale, contributing to staff turnover.</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Therefore, a holistic vetting framework must intentionally and systematically assess for these behavioral competencies throughout the hiring process. This moves beyond a simple "gut feeling" about a candidate and incorporates structured methods </w:t>
      </w:r>
      <w:r w:rsidDel="00000000" w:rsidR="00000000" w:rsidRPr="00000000">
        <w:rPr>
          <w:rFonts w:ascii="Google Sans Text" w:cs="Google Sans Text" w:eastAsia="Google Sans Text" w:hAnsi="Google Sans Text"/>
          <w:color w:val="444746"/>
          <w:sz w:val="24"/>
          <w:szCs w:val="24"/>
          <w:vertAlign w:val="superscript"/>
          <w:rtl w:val="0"/>
        </w:rPr>
        <w:t xml:space="preserve">73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Behavioral Interviews:</w:t>
      </w:r>
      <w:r w:rsidDel="00000000" w:rsidR="00000000" w:rsidRPr="00000000">
        <w:rPr>
          <w:rFonts w:ascii="Google Sans Text" w:cs="Google Sans Text" w:eastAsia="Google Sans Text" w:hAnsi="Google Sans Text"/>
          <w:color w:val="1b1c1d"/>
          <w:rtl w:val="0"/>
        </w:rPr>
        <w:t xml:space="preserve"> Using structured questions that ask candidates to provide specific examples of how they have handled past situations related to communication, conflict resolution, and teamwork.</w:t>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Situational Judgment Tests:</w:t>
      </w:r>
      <w:r w:rsidDel="00000000" w:rsidR="00000000" w:rsidRPr="00000000">
        <w:rPr>
          <w:rFonts w:ascii="Google Sans Text" w:cs="Google Sans Text" w:eastAsia="Google Sans Text" w:hAnsi="Google Sans Text"/>
          <w:color w:val="1b1c1d"/>
          <w:rtl w:val="0"/>
        </w:rPr>
        <w:t xml:space="preserve"> Presenting candidates with realistic clinical scenarios and evaluating their responses for ethical judgment, empathy, and problem-solving skills.</w:t>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360-Degree Reference Checks:</w:t>
      </w:r>
      <w:r w:rsidDel="00000000" w:rsidR="00000000" w:rsidRPr="00000000">
        <w:rPr>
          <w:rFonts w:ascii="Google Sans Text" w:cs="Google Sans Text" w:eastAsia="Google Sans Text" w:hAnsi="Google Sans Text"/>
          <w:color w:val="1b1c1d"/>
          <w:rtl w:val="0"/>
        </w:rPr>
        <w:t xml:space="preserve"> Moving beyond simple employment verification to ask specific, behavior-focused questions of former supervisors and peers.</w:t>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Shadowing and Simulation:</w:t>
      </w:r>
      <w:r w:rsidDel="00000000" w:rsidR="00000000" w:rsidRPr="00000000">
        <w:rPr>
          <w:rFonts w:ascii="Google Sans Text" w:cs="Google Sans Text" w:eastAsia="Google Sans Text" w:hAnsi="Google Sans Text"/>
          <w:color w:val="1b1c1d"/>
          <w:rtl w:val="0"/>
        </w:rPr>
        <w:t xml:space="preserve"> For key roles, observing candidates in simulated clinical environments or during shadowing sessions to assess their real-world interactions with colleagues and "patients".</w:t>
      </w:r>
      <w:r w:rsidDel="00000000" w:rsidR="00000000" w:rsidRPr="00000000">
        <w:rPr>
          <w:rFonts w:ascii="Google Sans Text" w:cs="Google Sans Text" w:eastAsia="Google Sans Text" w:hAnsi="Google Sans Text"/>
          <w:color w:val="444746"/>
          <w:sz w:val="24"/>
          <w:szCs w:val="24"/>
          <w:vertAlign w:val="superscript"/>
          <w:rtl w:val="0"/>
        </w:rPr>
        <w:t xml:space="preserve">73</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Integrating these "compassionate compliance" checks into the vetting process is not about being lenient; it is a sophisticated risk management strategy. It allows an organization to proactively identify and screen out individuals who, due to their behavioral traits, pose a higher statistical risk of causing patient harm and creating organizational instability.</w:t>
      </w:r>
    </w:p>
    <w:tbl>
      <w:tblPr>
        <w:tblStyle w:val="Table4"/>
        <w:tblW w:w="9360.0" w:type="dxa"/>
        <w:jc w:val="left"/>
        <w:tblLayout w:type="fixed"/>
        <w:tblLook w:val="06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 Holistic Clinician Vetting Framework: Integrating Hard and Compassionate Compliance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Vetting Stage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Application &amp; Initial Screen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Primary Source Verification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Interview Process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Reference Check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Privileging &amp; Onboarding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Ongoing Monitoring</w:t>
            </w:r>
          </w:p>
        </w:tc>
      </w:tr>
    </w:tbl>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color w:val="1b1c1d"/>
          <w:shd w:fill="auto" w:val="clear"/>
        </w:rPr>
      </w:pPr>
      <w:r w:rsidDel="00000000" w:rsidR="00000000" w:rsidRPr="00000000">
        <w:rPr>
          <w:rtl w:val="0"/>
        </w:rPr>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 and Recommendations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evidence overwhelmingly demonstrates that the prevailing "standard" for healthcare staffing agency compliance is inadequate, reactive, and exposes healthcare organizations to an unacceptable level of financial, legal, clinical, and reputational risk. The fragmented regulatory landscape, combined with the inherent flaws of manual, point-in-time verification processes, creates a fertile ground for compliance failures that can have devastating consequences.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path forward requires a fundamental paradigm shift away from this model of complacency toward one of proactive, engineered compliance. This analysis yields three core recommendations for healthcare leadership:</w:t>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Mandate a Higher Standard of Compliance from All Staffing Partners.</w:t>
      </w:r>
      <w:r w:rsidDel="00000000" w:rsidR="00000000" w:rsidRPr="00000000">
        <w:rPr>
          <w:rFonts w:ascii="Google Sans Text" w:cs="Google Sans Text" w:eastAsia="Google Sans Text" w:hAnsi="Google Sans Text"/>
          <w:color w:val="1b1c1d"/>
          <w:rtl w:val="0"/>
        </w:rPr>
        <w:t xml:space="preserve"> Hospital systems must cease accepting the legal minimum as an acceptable standard. Contracts with all staffing agencies should be revised to mandate adherence to a framework aligned with TJC standards. This includes requiring agencies to utilize continuous, automated monitoring for all licenses, certifications, and exclusion lists (both federal and state). Hospitals must exercise their leverage to demand transparency and proof of these advanced compliance capabilities, making it a non-negotiable condition of partnership.</w:t>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Invest in and Implement Automated Compliance Technology.</w:t>
      </w:r>
      <w:r w:rsidDel="00000000" w:rsidR="00000000" w:rsidRPr="00000000">
        <w:rPr>
          <w:rFonts w:ascii="Google Sans Text" w:cs="Google Sans Text" w:eastAsia="Google Sans Text" w:hAnsi="Google Sans Text"/>
          <w:color w:val="1b1c1d"/>
          <w:rtl w:val="0"/>
        </w:rPr>
        <w:t xml:space="preserve"> The business case is unequivocal: automated compliance and credentialing systems are not cost centers but high-yield strategic investments. The substantial ROI—realized through accelerated revenue, protected reimbursement streams, and mitigated risk of penalties—dwarfs the initial investment. Health systems should prioritize the adoption of these technologies, either internally or through qualified CVOs/MSPs, to create a centralized, efficient, and continuously monitored compliance ecosystem for all clinicians, whether permanent or temporary.</w:t>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Adopt a Holistic Vetting Framework that Integrates Compassionate Compliance.</w:t>
      </w:r>
      <w:r w:rsidDel="00000000" w:rsidR="00000000" w:rsidRPr="00000000">
        <w:rPr>
          <w:rFonts w:ascii="Google Sans Text" w:cs="Google Sans Text" w:eastAsia="Google Sans Text" w:hAnsi="Google Sans Text"/>
          <w:color w:val="1b1c1d"/>
          <w:rtl w:val="0"/>
        </w:rPr>
        <w:t xml:space="preserve"> True risk management and patient safety extend beyond verifying credentials. Leadership must champion a more sophisticated approach to vetting that systematically evaluates the soft skills—communication, empathy, teamwork, and cultural fit—that are proven leading indicators of clinical risk and patient experience. By integrating behavioral assessments into the hiring process, organizations can build a more resilient, cohesive, and safer clinical workforce.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Ultimately, the responsibility for the quality and safety of patient care rests with the healthcare organization, not its vendors. By embracing a proactive, technologically-driven, and holistic compliance framework, hospital leadership can transform this area of significant risk into a strategic advantage, ensuring financial stability, protecting its reputation, and, most importantly, fulfilling its fundamental mission to provide the safest and highest quality care to every patient.</w:t>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Care Staffing Agencies, Which States Require a License?, accessed October 25, 2025, </w:t>
      </w:r>
      <w:hyperlink r:id="rId6">
        <w:r w:rsidDel="00000000" w:rsidR="00000000" w:rsidRPr="00000000">
          <w:rPr>
            <w:rFonts w:ascii="Google Sans" w:cs="Google Sans" w:eastAsia="Google Sans" w:hAnsi="Google Sans"/>
            <w:color w:val="0000ee"/>
            <w:sz w:val="24"/>
            <w:szCs w:val="24"/>
            <w:u w:val="single"/>
            <w:rtl w:val="0"/>
          </w:rPr>
          <w:t xml:space="preserve">https://www.ascen.com/blog/health-care-staffing-agencies-which-states-require-a-license</w:t>
        </w:r>
      </w:hyperlink>
      <w:r w:rsidDel="00000000" w:rsidR="00000000" w:rsidRPr="00000000">
        <w:rPr>
          <w:rtl w:val="0"/>
        </w:rPr>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 Staffing Agencies | Louisiana Department of Health, accessed October 25, 2025, </w:t>
      </w:r>
      <w:hyperlink r:id="rId7">
        <w:r w:rsidDel="00000000" w:rsidR="00000000" w:rsidRPr="00000000">
          <w:rPr>
            <w:rFonts w:ascii="Google Sans" w:cs="Google Sans" w:eastAsia="Google Sans" w:hAnsi="Google Sans"/>
            <w:color w:val="0000ee"/>
            <w:sz w:val="24"/>
            <w:szCs w:val="24"/>
            <w:u w:val="single"/>
            <w:rtl w:val="0"/>
          </w:rPr>
          <w:t xml:space="preserve">https://ldh.la.gov/health-standards-section/nurse-staffing-agencies</w:t>
        </w:r>
      </w:hyperlink>
      <w:r w:rsidDel="00000000" w:rsidR="00000000" w:rsidRPr="00000000">
        <w:rPr>
          <w:rtl w:val="0"/>
        </w:rPr>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Registration of Temporary Health Care Services Agencies and Health Care Technology Platforms - New York State Department of Health, accessed October 25, 2025, </w:t>
      </w:r>
      <w:hyperlink r:id="rId8">
        <w:r w:rsidDel="00000000" w:rsidR="00000000" w:rsidRPr="00000000">
          <w:rPr>
            <w:rFonts w:ascii="Google Sans" w:cs="Google Sans" w:eastAsia="Google Sans" w:hAnsi="Google Sans"/>
            <w:color w:val="0000ee"/>
            <w:sz w:val="24"/>
            <w:szCs w:val="24"/>
            <w:u w:val="single"/>
            <w:rtl w:val="0"/>
          </w:rPr>
          <w:t xml:space="preserve">https://www.health.ny.gov/facilities/staffing_agency/</w:t>
        </w:r>
      </w:hyperlink>
      <w:r w:rsidDel="00000000" w:rsidR="00000000" w:rsidRPr="00000000">
        <w:rPr>
          <w:rtl w:val="0"/>
        </w:rPr>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371. Regulations for the Licensure of Nursing Facilities - Virginia Law, accessed October 25, 2025, </w:t>
      </w:r>
      <w:hyperlink r:id="rId9">
        <w:r w:rsidDel="00000000" w:rsidR="00000000" w:rsidRPr="00000000">
          <w:rPr>
            <w:rFonts w:ascii="Google Sans" w:cs="Google Sans" w:eastAsia="Google Sans" w:hAnsi="Google Sans"/>
            <w:color w:val="0000ee"/>
            <w:sz w:val="24"/>
            <w:szCs w:val="24"/>
            <w:u w:val="single"/>
            <w:rtl w:val="0"/>
          </w:rPr>
          <w:t xml:space="preserve">https://law.lis.virginia.gov/admincodefull/title12/agency5/chapter371/</w:t>
        </w:r>
      </w:hyperlink>
      <w:r w:rsidDel="00000000" w:rsidR="00000000" w:rsidRPr="00000000">
        <w:rPr>
          <w:rtl w:val="0"/>
        </w:rPr>
      </w:r>
    </w:p>
    <w:p w:rsidR="00000000" w:rsidDel="00000000" w:rsidP="00000000" w:rsidRDefault="00000000" w:rsidRPr="00000000" w14:paraId="000000D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 Compliance Gap Analysis for Healthcare Holds the Answer, accessed October 25, 2025, </w:t>
      </w:r>
      <w:hyperlink r:id="rId10">
        <w:r w:rsidDel="00000000" w:rsidR="00000000" w:rsidRPr="00000000">
          <w:rPr>
            <w:rFonts w:ascii="Google Sans" w:cs="Google Sans" w:eastAsia="Google Sans" w:hAnsi="Google Sans"/>
            <w:color w:val="0000ee"/>
            <w:sz w:val="24"/>
            <w:szCs w:val="24"/>
            <w:u w:val="single"/>
            <w:rtl w:val="0"/>
          </w:rPr>
          <w:t xml:space="preserve">https://riddlecompliance.com/why-a-compliance-gap-analysis-for-healthcare-holds-the-answer/</w:t>
        </w:r>
      </w:hyperlink>
      <w:r w:rsidDel="00000000" w:rsidR="00000000" w:rsidRPr="00000000">
        <w:rPr>
          <w:rtl w:val="0"/>
        </w:rPr>
      </w:r>
    </w:p>
    <w:p w:rsidR="00000000" w:rsidDel="00000000" w:rsidP="00000000" w:rsidRDefault="00000000" w:rsidRPr="00000000" w14:paraId="000000E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Common Compliance Issues in Healthcare Credentialing (and ..., accessed October 25, 2025, </w:t>
      </w:r>
      <w:hyperlink r:id="rId11">
        <w:r w:rsidDel="00000000" w:rsidR="00000000" w:rsidRPr="00000000">
          <w:rPr>
            <w:rFonts w:ascii="Google Sans" w:cs="Google Sans" w:eastAsia="Google Sans" w:hAnsi="Google Sans"/>
            <w:color w:val="0000ee"/>
            <w:sz w:val="24"/>
            <w:szCs w:val="24"/>
            <w:u w:val="single"/>
            <w:rtl w:val="0"/>
          </w:rPr>
          <w:t xml:space="preserve">https://tollanis.com/blog/4-common-compliance-issues-in-healthcare-credentialing-and-how-to-fix-them</w:t>
        </w:r>
      </w:hyperlink>
      <w:r w:rsidDel="00000000" w:rsidR="00000000" w:rsidRPr="00000000">
        <w:rPr>
          <w:rtl w:val="0"/>
        </w:rPr>
      </w:r>
    </w:p>
    <w:p w:rsidR="00000000" w:rsidDel="00000000" w:rsidP="00000000" w:rsidRDefault="00000000" w:rsidRPr="00000000" w14:paraId="000000E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License Monitoring Best Practices - ProviderTrust, accessed October 25, 2025, </w:t>
      </w:r>
      <w:hyperlink r:id="rId12">
        <w:r w:rsidDel="00000000" w:rsidR="00000000" w:rsidRPr="00000000">
          <w:rPr>
            <w:rFonts w:ascii="Google Sans" w:cs="Google Sans" w:eastAsia="Google Sans" w:hAnsi="Google Sans"/>
            <w:color w:val="0000ee"/>
            <w:sz w:val="24"/>
            <w:szCs w:val="24"/>
            <w:u w:val="single"/>
            <w:rtl w:val="0"/>
          </w:rPr>
          <w:t xml:space="preserve">https://www.providertrust.com/blog/healthcare-license-monitoring-best-practices/</w:t>
        </w:r>
      </w:hyperlink>
      <w:r w:rsidDel="00000000" w:rsidR="00000000" w:rsidRPr="00000000">
        <w:rPr>
          <w:rtl w:val="0"/>
        </w:rPr>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Continuous Monitoring In Provider Credentialing Is the Future - MedTrainer, accessed October 25, 2025, </w:t>
      </w:r>
      <w:hyperlink r:id="rId13">
        <w:r w:rsidDel="00000000" w:rsidR="00000000" w:rsidRPr="00000000">
          <w:rPr>
            <w:rFonts w:ascii="Google Sans" w:cs="Google Sans" w:eastAsia="Google Sans" w:hAnsi="Google Sans"/>
            <w:color w:val="0000ee"/>
            <w:sz w:val="24"/>
            <w:szCs w:val="24"/>
            <w:u w:val="single"/>
            <w:rtl w:val="0"/>
          </w:rPr>
          <w:t xml:space="preserve">https://medtrainer.com/blog/continuous-monitoring-is-the-future-of-provider-credentialing/</w:t>
        </w:r>
      </w:hyperlink>
      <w:r w:rsidDel="00000000" w:rsidR="00000000" w:rsidRPr="00000000">
        <w:rPr>
          <w:rtl w:val="0"/>
        </w:rPr>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Continuous Monitoring is the Right Approach in Healthcare - Accurate, accessed October 25, 2025, </w:t>
      </w:r>
      <w:hyperlink r:id="rId14">
        <w:r w:rsidDel="00000000" w:rsidR="00000000" w:rsidRPr="00000000">
          <w:rPr>
            <w:rFonts w:ascii="Google Sans" w:cs="Google Sans" w:eastAsia="Google Sans" w:hAnsi="Google Sans"/>
            <w:color w:val="0000ee"/>
            <w:sz w:val="24"/>
            <w:szCs w:val="24"/>
            <w:u w:val="single"/>
            <w:rtl w:val="0"/>
          </w:rPr>
          <w:t xml:space="preserve">https://www.accurate.com/blog/why-continuous-monitoring-is-the-right-approach-in-healthcare/</w:t>
        </w:r>
      </w:hyperlink>
      <w:r w:rsidDel="00000000" w:rsidR="00000000" w:rsidRPr="00000000">
        <w:rPr>
          <w:rtl w:val="0"/>
        </w:rPr>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Reasons to Invest in Healthcare Continuous Monitoring | Verisys, accessed October 25, 2025, </w:t>
      </w:r>
      <w:hyperlink r:id="rId15">
        <w:r w:rsidDel="00000000" w:rsidR="00000000" w:rsidRPr="00000000">
          <w:rPr>
            <w:rFonts w:ascii="Google Sans" w:cs="Google Sans" w:eastAsia="Google Sans" w:hAnsi="Google Sans"/>
            <w:color w:val="0000ee"/>
            <w:sz w:val="24"/>
            <w:szCs w:val="24"/>
            <w:u w:val="single"/>
            <w:rtl w:val="0"/>
          </w:rPr>
          <w:t xml:space="preserve">https://verisys.com/blog/reasons-to-invest-in-healthcare-continuous-monitoring/</w:t>
        </w:r>
      </w:hyperlink>
      <w:r w:rsidDel="00000000" w:rsidR="00000000" w:rsidRPr="00000000">
        <w:rPr>
          <w:rtl w:val="0"/>
        </w:rPr>
      </w:r>
    </w:p>
    <w:p w:rsidR="00000000" w:rsidDel="00000000" w:rsidP="00000000" w:rsidRDefault="00000000" w:rsidRPr="00000000" w14:paraId="000000E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OIG, SAM.gov, &amp; State Exclusion Lists Explained - ProviderTrust, accessed October 25, 2025, </w:t>
      </w:r>
      <w:hyperlink r:id="rId16">
        <w:r w:rsidDel="00000000" w:rsidR="00000000" w:rsidRPr="00000000">
          <w:rPr>
            <w:rFonts w:ascii="Google Sans" w:cs="Google Sans" w:eastAsia="Google Sans" w:hAnsi="Google Sans"/>
            <w:color w:val="0000ee"/>
            <w:sz w:val="24"/>
            <w:szCs w:val="24"/>
            <w:u w:val="single"/>
            <w:rtl w:val="0"/>
          </w:rPr>
          <w:t xml:space="preserve">https://www.providertrust.com/blog/oig-sam-state-medicaid-exclusion-lists-differences/</w:t>
        </w:r>
      </w:hyperlink>
      <w:r w:rsidDel="00000000" w:rsidR="00000000" w:rsidRPr="00000000">
        <w:rPr>
          <w:rtl w:val="0"/>
        </w:rPr>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Background Information | Exclusions | Office of Inspector General | U.S. Department of Health and Human Services, accessed October 25, 2025, </w:t>
      </w:r>
      <w:hyperlink r:id="rId17">
        <w:r w:rsidDel="00000000" w:rsidR="00000000" w:rsidRPr="00000000">
          <w:rPr>
            <w:rFonts w:ascii="Google Sans" w:cs="Google Sans" w:eastAsia="Google Sans" w:hAnsi="Google Sans"/>
            <w:color w:val="0000ee"/>
            <w:sz w:val="24"/>
            <w:szCs w:val="24"/>
            <w:u w:val="single"/>
            <w:rtl w:val="0"/>
          </w:rPr>
          <w:t xml:space="preserve">https://oig.hhs.gov/exclusions/background.asp</w:t>
        </w:r>
      </w:hyperlink>
      <w:r w:rsidDel="00000000" w:rsidR="00000000" w:rsidRPr="00000000">
        <w:rPr>
          <w:rtl w:val="0"/>
        </w:rPr>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Guide To OIG Exclusion Monitoring In Healthcare - Ntracts, accessed October 25, 2025, </w:t>
      </w:r>
      <w:hyperlink r:id="rId18">
        <w:r w:rsidDel="00000000" w:rsidR="00000000" w:rsidRPr="00000000">
          <w:rPr>
            <w:rFonts w:ascii="Google Sans" w:cs="Google Sans" w:eastAsia="Google Sans" w:hAnsi="Google Sans"/>
            <w:color w:val="0000ee"/>
            <w:sz w:val="24"/>
            <w:szCs w:val="24"/>
            <w:u w:val="single"/>
            <w:rtl w:val="0"/>
          </w:rPr>
          <w:t xml:space="preserve">https://www.ntracts.com/blog/oig-and-other-databases-exclusion-monitoring-in-healthcare-a-compliance-contracting-best-practices-guide/</w:t>
        </w:r>
      </w:hyperlink>
      <w:r w:rsidDel="00000000" w:rsidR="00000000" w:rsidRPr="00000000">
        <w:rPr>
          <w:rtl w:val="0"/>
        </w:rPr>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System for Award Management (SAM) Background Check? - iprospectcheck, accessed October 25, 2025, </w:t>
      </w:r>
      <w:hyperlink r:id="rId19">
        <w:r w:rsidDel="00000000" w:rsidR="00000000" w:rsidRPr="00000000">
          <w:rPr>
            <w:rFonts w:ascii="Google Sans" w:cs="Google Sans" w:eastAsia="Google Sans" w:hAnsi="Google Sans"/>
            <w:color w:val="0000ee"/>
            <w:sz w:val="24"/>
            <w:szCs w:val="24"/>
            <w:u w:val="single"/>
            <w:rtl w:val="0"/>
          </w:rPr>
          <w:t xml:space="preserve">https://iprospectcheck.com/sam-background-check/</w:t>
        </w:r>
      </w:hyperlink>
      <w:r w:rsidDel="00000000" w:rsidR="00000000" w:rsidRPr="00000000">
        <w:rPr>
          <w:rtl w:val="0"/>
        </w:rPr>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Often Should You Do an OIG Exclusion List Check? - ProviderTrust, accessed October 25, 2025, </w:t>
      </w:r>
      <w:hyperlink r:id="rId20">
        <w:r w:rsidDel="00000000" w:rsidR="00000000" w:rsidRPr="00000000">
          <w:rPr>
            <w:rFonts w:ascii="Google Sans" w:cs="Google Sans" w:eastAsia="Google Sans" w:hAnsi="Google Sans"/>
            <w:color w:val="0000ee"/>
            <w:sz w:val="24"/>
            <w:szCs w:val="24"/>
            <w:u w:val="single"/>
            <w:rtl w:val="0"/>
          </w:rPr>
          <w:t xml:space="preserve">https://www.providertrust.com/blog/how-often-should-you-do-an-oig-exclusion-list-check/</w:t>
        </w:r>
      </w:hyperlink>
      <w:r w:rsidDel="00000000" w:rsidR="00000000" w:rsidRPr="00000000">
        <w:rPr>
          <w:rtl w:val="0"/>
        </w:rPr>
      </w:r>
    </w:p>
    <w:p w:rsidR="00000000" w:rsidDel="00000000" w:rsidP="00000000" w:rsidRDefault="00000000" w:rsidRPr="00000000" w14:paraId="000000E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OIG Exclusion Compliance - Streamline Verify, accessed October 25, 2025, </w:t>
      </w:r>
      <w:hyperlink r:id="rId21">
        <w:r w:rsidDel="00000000" w:rsidR="00000000" w:rsidRPr="00000000">
          <w:rPr>
            <w:rFonts w:ascii="Google Sans" w:cs="Google Sans" w:eastAsia="Google Sans" w:hAnsi="Google Sans"/>
            <w:color w:val="0000ee"/>
            <w:sz w:val="24"/>
            <w:szCs w:val="24"/>
            <w:u w:val="single"/>
            <w:rtl w:val="0"/>
          </w:rPr>
          <w:t xml:space="preserve">https://streamlineverify.com/compliance/</w:t>
        </w:r>
      </w:hyperlink>
      <w:r w:rsidDel="00000000" w:rsidR="00000000" w:rsidRPr="00000000">
        <w:rPr>
          <w:rtl w:val="0"/>
        </w:rPr>
      </w:r>
    </w:p>
    <w:p w:rsidR="00000000" w:rsidDel="00000000" w:rsidP="00000000" w:rsidRDefault="00000000" w:rsidRPr="00000000" w14:paraId="000000E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Employee Abuse Registry – New Mexico Health Care Authority, accessed October 25, 2025, </w:t>
      </w:r>
      <w:hyperlink r:id="rId22">
        <w:r w:rsidDel="00000000" w:rsidR="00000000" w:rsidRPr="00000000">
          <w:rPr>
            <w:rFonts w:ascii="Google Sans" w:cs="Google Sans" w:eastAsia="Google Sans" w:hAnsi="Google Sans"/>
            <w:color w:val="0000ee"/>
            <w:sz w:val="24"/>
            <w:szCs w:val="24"/>
            <w:u w:val="single"/>
            <w:rtl w:val="0"/>
          </w:rPr>
          <w:t xml:space="preserve">https://www.hca.nm.gov/employee-abuse-registry/</w:t>
        </w:r>
      </w:hyperlink>
      <w:r w:rsidDel="00000000" w:rsidR="00000000" w:rsidRPr="00000000">
        <w:rPr>
          <w:rtl w:val="0"/>
        </w:rPr>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Background Check Process - California Department of Social Services - CA.gov, accessed October 25, 2025, </w:t>
      </w:r>
      <w:hyperlink r:id="rId23">
        <w:r w:rsidDel="00000000" w:rsidR="00000000" w:rsidRPr="00000000">
          <w:rPr>
            <w:rFonts w:ascii="Google Sans" w:cs="Google Sans" w:eastAsia="Google Sans" w:hAnsi="Google Sans"/>
            <w:color w:val="0000ee"/>
            <w:sz w:val="24"/>
            <w:szCs w:val="24"/>
            <w:u w:val="single"/>
            <w:rtl w:val="0"/>
          </w:rPr>
          <w:t xml:space="preserve">https://www.cdss.ca.gov/inforesources/community-care/caregiver-background-check/background-check-process</w:t>
        </w:r>
      </w:hyperlink>
      <w:r w:rsidDel="00000000" w:rsidR="00000000" w:rsidRPr="00000000">
        <w:rPr>
          <w:rtl w:val="0"/>
        </w:rPr>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Texas Central Registry Background Checks, accessed October 25, 2025, </w:t>
      </w:r>
      <w:hyperlink r:id="rId24">
        <w:r w:rsidDel="00000000" w:rsidR="00000000" w:rsidRPr="00000000">
          <w:rPr>
            <w:rFonts w:ascii="Google Sans" w:cs="Google Sans" w:eastAsia="Google Sans" w:hAnsi="Google Sans"/>
            <w:color w:val="0000ee"/>
            <w:sz w:val="24"/>
            <w:szCs w:val="24"/>
            <w:u w:val="single"/>
            <w:rtl w:val="0"/>
          </w:rPr>
          <w:t xml:space="preserve">https://www.dfps.texas.gov/background_checks/faq/faq_abuse_registry.asp</w:t>
        </w:r>
      </w:hyperlink>
      <w:r w:rsidDel="00000000" w:rsidR="00000000" w:rsidRPr="00000000">
        <w:rPr>
          <w:rtl w:val="0"/>
        </w:rPr>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 Care Staffing Services Certification - Joint Commission, accessed October 25, 2025, </w:t>
      </w:r>
      <w:hyperlink r:id="rId25">
        <w:r w:rsidDel="00000000" w:rsidR="00000000" w:rsidRPr="00000000">
          <w:rPr>
            <w:rFonts w:ascii="Google Sans" w:cs="Google Sans" w:eastAsia="Google Sans" w:hAnsi="Google Sans"/>
            <w:color w:val="0000ee"/>
            <w:sz w:val="24"/>
            <w:szCs w:val="24"/>
            <w:u w:val="single"/>
            <w:rtl w:val="0"/>
          </w:rPr>
          <w:t xml:space="preserve">https://www.jointcommission.org/en-us/certification/health-care-staffing</w:t>
        </w:r>
      </w:hyperlink>
      <w:r w:rsidDel="00000000" w:rsidR="00000000" w:rsidRPr="00000000">
        <w:rPr>
          <w:rtl w:val="0"/>
        </w:rPr>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Staff Competency Policy - Joint Commission, accessed October 25, 2025, </w:t>
      </w:r>
      <w:hyperlink r:id="rId26">
        <w:r w:rsidDel="00000000" w:rsidR="00000000" w:rsidRPr="00000000">
          <w:rPr>
            <w:rFonts w:ascii="Google Sans" w:cs="Google Sans" w:eastAsia="Google Sans" w:hAnsi="Google Sans"/>
            <w:color w:val="0000ee"/>
            <w:sz w:val="24"/>
            <w:szCs w:val="24"/>
            <w:u w:val="single"/>
            <w:rtl w:val="0"/>
          </w:rPr>
          <w:t xml:space="preserve">https://store.jcrinc.com/assets/1/7/POLHC_SamplePages.pdf</w:t>
        </w:r>
      </w:hyperlink>
      <w:r w:rsidDel="00000000" w:rsidR="00000000" w:rsidRPr="00000000">
        <w:rPr>
          <w:rtl w:val="0"/>
        </w:rPr>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Statement on Floating | New York State Nurses Association, accessed October 25, 2025, </w:t>
      </w:r>
      <w:hyperlink r:id="rId27">
        <w:r w:rsidDel="00000000" w:rsidR="00000000" w:rsidRPr="00000000">
          <w:rPr>
            <w:rFonts w:ascii="Google Sans" w:cs="Google Sans" w:eastAsia="Google Sans" w:hAnsi="Google Sans"/>
            <w:color w:val="0000ee"/>
            <w:sz w:val="24"/>
            <w:szCs w:val="24"/>
            <w:u w:val="single"/>
            <w:rtl w:val="0"/>
          </w:rPr>
          <w:t xml:space="preserve">https://www.nysna.org/position-statement-floating</w:t>
        </w:r>
      </w:hyperlink>
      <w:r w:rsidDel="00000000" w:rsidR="00000000" w:rsidRPr="00000000">
        <w:rPr>
          <w:rtl w:val="0"/>
        </w:rPr>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Standards | Joint Commission, accessed October 25, 2025, </w:t>
      </w:r>
      <w:hyperlink r:id="rId28">
        <w:r w:rsidDel="00000000" w:rsidR="00000000" w:rsidRPr="00000000">
          <w:rPr>
            <w:rFonts w:ascii="Google Sans" w:cs="Google Sans" w:eastAsia="Google Sans" w:hAnsi="Google Sans"/>
            <w:color w:val="0000ee"/>
            <w:sz w:val="24"/>
            <w:szCs w:val="24"/>
            <w:u w:val="single"/>
            <w:rtl w:val="0"/>
          </w:rPr>
          <w:t xml:space="preserve">https://www.jointcommission.org/en-us/standards</w:t>
        </w:r>
      </w:hyperlink>
      <w:r w:rsidDel="00000000" w:rsidR="00000000" w:rsidRPr="00000000">
        <w:rPr>
          <w:rtl w:val="0"/>
        </w:rPr>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Joint Commission Finally Recognizes Nurse Staffing as a National ..., accessed October 25, 2025, </w:t>
      </w:r>
      <w:hyperlink r:id="rId29">
        <w:r w:rsidDel="00000000" w:rsidR="00000000" w:rsidRPr="00000000">
          <w:rPr>
            <w:rFonts w:ascii="Google Sans" w:cs="Google Sans" w:eastAsia="Google Sans" w:hAnsi="Google Sans"/>
            <w:color w:val="0000ee"/>
            <w:sz w:val="24"/>
            <w:szCs w:val="24"/>
            <w:u w:val="single"/>
            <w:rtl w:val="0"/>
          </w:rPr>
          <w:t xml:space="preserve">https://nurse.org/news/joint-commission-nurse-staffing-goals/</w:t>
        </w:r>
      </w:hyperlink>
      <w:r w:rsidDel="00000000" w:rsidR="00000000" w:rsidRPr="00000000">
        <w:rPr>
          <w:rtl w:val="0"/>
        </w:rPr>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Joint Commission Survey Readiness Handbook - Naval Hospital Camp Pendleton, accessed October 25, 2025, </w:t>
      </w:r>
      <w:hyperlink r:id="rId30">
        <w:r w:rsidDel="00000000" w:rsidR="00000000" w:rsidRPr="00000000">
          <w:rPr>
            <w:rFonts w:ascii="Google Sans" w:cs="Google Sans" w:eastAsia="Google Sans" w:hAnsi="Google Sans"/>
            <w:color w:val="0000ee"/>
            <w:sz w:val="24"/>
            <w:szCs w:val="24"/>
            <w:u w:val="single"/>
            <w:rtl w:val="0"/>
          </w:rPr>
          <w:t xml:space="preserve">https://camp-pendleton.tricare.mil/Portals/113/Documents/NHCP_JC_PocketGuide_APR2022v3_002.pdf?ver=uGQO_0yH4Nz_hsRUmu7d-Q%3D%3D</w:t>
        </w:r>
      </w:hyperlink>
      <w:r w:rsidDel="00000000" w:rsidR="00000000" w:rsidRPr="00000000">
        <w:rPr>
          <w:rtl w:val="0"/>
        </w:rPr>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Joint Commission - StatPearls - NCBI Bookshelf - NIH, accessed October 25, 2025, </w:t>
      </w:r>
      <w:hyperlink r:id="rId31">
        <w:r w:rsidDel="00000000" w:rsidR="00000000" w:rsidRPr="00000000">
          <w:rPr>
            <w:rFonts w:ascii="Google Sans" w:cs="Google Sans" w:eastAsia="Google Sans" w:hAnsi="Google Sans"/>
            <w:color w:val="0000ee"/>
            <w:sz w:val="24"/>
            <w:szCs w:val="24"/>
            <w:u w:val="single"/>
            <w:rtl w:val="0"/>
          </w:rPr>
          <w:t xml:space="preserve">https://www.ncbi.nlm.nih.gov/books/NBK557846/</w:t>
        </w:r>
      </w:hyperlink>
      <w:r w:rsidDel="00000000" w:rsidR="00000000" w:rsidRPr="00000000">
        <w:rPr>
          <w:rtl w:val="0"/>
        </w:rPr>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Medical Staffing Agency Licensing | Harbor Compliance | www.harborcompliance.com, accessed October 25, 2025, </w:t>
      </w:r>
      <w:hyperlink r:id="rId32">
        <w:r w:rsidDel="00000000" w:rsidR="00000000" w:rsidRPr="00000000">
          <w:rPr>
            <w:rFonts w:ascii="Google Sans" w:cs="Google Sans" w:eastAsia="Google Sans" w:hAnsi="Google Sans"/>
            <w:color w:val="0000ee"/>
            <w:sz w:val="24"/>
            <w:szCs w:val="24"/>
            <w:u w:val="single"/>
            <w:rtl w:val="0"/>
          </w:rPr>
          <w:t xml:space="preserve">https://www.harborcompliance.com/medical-staffing-agency-license</w:t>
        </w:r>
      </w:hyperlink>
      <w:r w:rsidDel="00000000" w:rsidR="00000000" w:rsidRPr="00000000">
        <w:rPr>
          <w:rtl w:val="0"/>
        </w:rPr>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Credentialing and Privileging in Healthcare - Verisys, accessed October 25, 2025, </w:t>
      </w:r>
      <w:hyperlink r:id="rId33">
        <w:r w:rsidDel="00000000" w:rsidR="00000000" w:rsidRPr="00000000">
          <w:rPr>
            <w:rFonts w:ascii="Google Sans" w:cs="Google Sans" w:eastAsia="Google Sans" w:hAnsi="Google Sans"/>
            <w:color w:val="0000ee"/>
            <w:sz w:val="24"/>
            <w:szCs w:val="24"/>
            <w:u w:val="single"/>
            <w:rtl w:val="0"/>
          </w:rPr>
          <w:t xml:space="preserve">https://verisys.com/blog/credentialing-and-privileging-in-healthcare/</w:t>
        </w:r>
      </w:hyperlink>
      <w:r w:rsidDel="00000000" w:rsidR="00000000" w:rsidRPr="00000000">
        <w:rPr>
          <w:rtl w:val="0"/>
        </w:rPr>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 HHS OIG Exclusion Check? - The HIPAA Journal, accessed October 25, 2025, </w:t>
      </w:r>
      <w:hyperlink r:id="rId34">
        <w:r w:rsidDel="00000000" w:rsidR="00000000" w:rsidRPr="00000000">
          <w:rPr>
            <w:rFonts w:ascii="Google Sans" w:cs="Google Sans" w:eastAsia="Google Sans" w:hAnsi="Google Sans"/>
            <w:color w:val="0000ee"/>
            <w:sz w:val="24"/>
            <w:szCs w:val="24"/>
            <w:u w:val="single"/>
            <w:rtl w:val="0"/>
          </w:rPr>
          <w:t xml:space="preserve">https://www.hipaajournal.com/hhs-oig-exclusion-check/</w:t>
        </w:r>
      </w:hyperlink>
      <w:r w:rsidDel="00000000" w:rsidR="00000000" w:rsidRPr="00000000">
        <w:rPr>
          <w:rtl w:val="0"/>
        </w:rPr>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Exclusions | Office of Inspector General | U.S. Department of Health and Human Services, accessed October 25, 2025, </w:t>
      </w:r>
      <w:hyperlink r:id="rId35">
        <w:r w:rsidDel="00000000" w:rsidR="00000000" w:rsidRPr="00000000">
          <w:rPr>
            <w:rFonts w:ascii="Google Sans" w:cs="Google Sans" w:eastAsia="Google Sans" w:hAnsi="Google Sans"/>
            <w:color w:val="0000ee"/>
            <w:sz w:val="24"/>
            <w:szCs w:val="24"/>
            <w:u w:val="single"/>
            <w:rtl w:val="0"/>
          </w:rPr>
          <w:t xml:space="preserve">https://oig.hhs.gov/exclusions/</w:t>
        </w:r>
      </w:hyperlink>
      <w:r w:rsidDel="00000000" w:rsidR="00000000" w:rsidRPr="00000000">
        <w:rPr>
          <w:rtl w:val="0"/>
        </w:rPr>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Enforcement Actions | Office of Inspector General | Government ..., accessed October 25, 2025, </w:t>
      </w:r>
      <w:hyperlink r:id="rId36">
        <w:r w:rsidDel="00000000" w:rsidR="00000000" w:rsidRPr="00000000">
          <w:rPr>
            <w:rFonts w:ascii="Google Sans" w:cs="Google Sans" w:eastAsia="Google Sans" w:hAnsi="Google Sans"/>
            <w:color w:val="0000ee"/>
            <w:sz w:val="24"/>
            <w:szCs w:val="24"/>
            <w:u w:val="single"/>
            <w:rtl w:val="0"/>
          </w:rPr>
          <w:t xml:space="preserve">https://oig.hhs.gov/fraud/enforcement/?type=cmp-and-affirmative-exclusions</w:t>
        </w:r>
      </w:hyperlink>
      <w:r w:rsidDel="00000000" w:rsidR="00000000" w:rsidRPr="00000000">
        <w:rPr>
          <w:rtl w:val="0"/>
        </w:rPr>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HHS-OIG Exclusions and Penalties for Employing Excluded Individuals, accessed October 25, 2025, </w:t>
      </w:r>
      <w:hyperlink r:id="rId37">
        <w:r w:rsidDel="00000000" w:rsidR="00000000" w:rsidRPr="00000000">
          <w:rPr>
            <w:rFonts w:ascii="Google Sans" w:cs="Google Sans" w:eastAsia="Google Sans" w:hAnsi="Google Sans"/>
            <w:color w:val="0000ee"/>
            <w:sz w:val="24"/>
            <w:szCs w:val="24"/>
            <w:u w:val="single"/>
            <w:rtl w:val="0"/>
          </w:rPr>
          <w:t xml:space="preserve">https://www.hipaajournal.com/hhs-oig-exclusions-penalties-employing-excluded-individuals/</w:t>
        </w:r>
      </w:hyperlink>
      <w:r w:rsidDel="00000000" w:rsidR="00000000" w:rsidRPr="00000000">
        <w:rPr>
          <w:rtl w:val="0"/>
        </w:rPr>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Negligent Hiring And Background Checks - GMS, accessed October 25, 2025, </w:t>
      </w:r>
      <w:hyperlink r:id="rId38">
        <w:r w:rsidDel="00000000" w:rsidR="00000000" w:rsidRPr="00000000">
          <w:rPr>
            <w:rFonts w:ascii="Google Sans" w:cs="Google Sans" w:eastAsia="Google Sans" w:hAnsi="Google Sans"/>
            <w:color w:val="0000ee"/>
            <w:sz w:val="24"/>
            <w:szCs w:val="24"/>
            <w:u w:val="single"/>
            <w:rtl w:val="0"/>
          </w:rPr>
          <w:t xml:space="preserve">https://www.groupmgmt.com/blog/negligent-hiring-and-background-checks/</w:t>
        </w:r>
      </w:hyperlink>
      <w:r w:rsidDel="00000000" w:rsidR="00000000" w:rsidRPr="00000000">
        <w:rPr>
          <w:rtl w:val="0"/>
        </w:rPr>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is an agency nurse's employer for purposes of liability? | Nurse ..., accessed October 25, 2025, </w:t>
      </w:r>
      <w:hyperlink r:id="rId39">
        <w:r w:rsidDel="00000000" w:rsidR="00000000" w:rsidRPr="00000000">
          <w:rPr>
            <w:rFonts w:ascii="Google Sans" w:cs="Google Sans" w:eastAsia="Google Sans" w:hAnsi="Google Sans"/>
            <w:color w:val="0000ee"/>
            <w:sz w:val="24"/>
            <w:szCs w:val="24"/>
            <w:u w:val="single"/>
            <w:rtl w:val="0"/>
          </w:rPr>
          <w:t xml:space="preserve">https://www.nurse.com/blog/who-is-an-agency-nurses-employer-for-purposes-of-liability/</w:t>
        </w:r>
      </w:hyperlink>
      <w:r w:rsidDel="00000000" w:rsidR="00000000" w:rsidRPr="00000000">
        <w:rPr>
          <w:rtl w:val="0"/>
        </w:rPr>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 Nightingale - California Board of Registered Nursing, accessed October 25, 2025, </w:t>
      </w:r>
      <w:hyperlink r:id="rId40">
        <w:r w:rsidDel="00000000" w:rsidR="00000000" w:rsidRPr="00000000">
          <w:rPr>
            <w:rFonts w:ascii="Google Sans" w:cs="Google Sans" w:eastAsia="Google Sans" w:hAnsi="Google Sans"/>
            <w:color w:val="0000ee"/>
            <w:sz w:val="24"/>
            <w:szCs w:val="24"/>
            <w:u w:val="single"/>
            <w:rtl w:val="0"/>
          </w:rPr>
          <w:t xml:space="preserve">https://www.rn.ca.gov/education/nightingale.shtml</w:t>
        </w:r>
      </w:hyperlink>
      <w:r w:rsidDel="00000000" w:rsidR="00000000" w:rsidRPr="00000000">
        <w:rPr>
          <w:rtl w:val="0"/>
        </w:rPr>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Fake Nurse Diploma Mill Uncovered - KFF Health News, accessed October 25, 2025, </w:t>
      </w:r>
      <w:hyperlink r:id="rId41">
        <w:r w:rsidDel="00000000" w:rsidR="00000000" w:rsidRPr="00000000">
          <w:rPr>
            <w:rFonts w:ascii="Google Sans" w:cs="Google Sans" w:eastAsia="Google Sans" w:hAnsi="Google Sans"/>
            <w:color w:val="0000ee"/>
            <w:sz w:val="24"/>
            <w:szCs w:val="24"/>
            <w:u w:val="single"/>
            <w:rtl w:val="0"/>
          </w:rPr>
          <w:t xml:space="preserve">https://kffhealthnews.org/morning-breakout/a-fake-nurse-diploma-mill-uncovered/</w:t>
        </w:r>
      </w:hyperlink>
      <w:r w:rsidDel="00000000" w:rsidR="00000000" w:rsidRPr="00000000">
        <w:rPr>
          <w:rtl w:val="0"/>
        </w:rPr>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Florida woman accused of posing as nurse, illegally treating more than 4400 patients, accessed October 25, 2025, </w:t>
      </w:r>
      <w:hyperlink r:id="rId42">
        <w:r w:rsidDel="00000000" w:rsidR="00000000" w:rsidRPr="00000000">
          <w:rPr>
            <w:rFonts w:ascii="Google Sans" w:cs="Google Sans" w:eastAsia="Google Sans" w:hAnsi="Google Sans"/>
            <w:color w:val="0000ee"/>
            <w:sz w:val="24"/>
            <w:szCs w:val="24"/>
            <w:u w:val="single"/>
            <w:rtl w:val="0"/>
          </w:rPr>
          <w:t xml:space="preserve">https://www.youtube.com/watch?v=adRAKRnhZSg</w:t>
        </w:r>
      </w:hyperlink>
      <w:r w:rsidDel="00000000" w:rsidR="00000000" w:rsidRPr="00000000">
        <w:rPr>
          <w:rtl w:val="0"/>
        </w:rPr>
      </w:r>
    </w:p>
    <w:p w:rsidR="00000000" w:rsidDel="00000000" w:rsidP="00000000" w:rsidRDefault="00000000" w:rsidRPr="00000000" w14:paraId="0000010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 imposter arrested after treating over 4000 patients without a license - YouTube, accessed October 25, 2025, </w:t>
      </w:r>
      <w:hyperlink r:id="rId43">
        <w:r w:rsidDel="00000000" w:rsidR="00000000" w:rsidRPr="00000000">
          <w:rPr>
            <w:rFonts w:ascii="Google Sans" w:cs="Google Sans" w:eastAsia="Google Sans" w:hAnsi="Google Sans"/>
            <w:color w:val="0000ee"/>
            <w:sz w:val="24"/>
            <w:szCs w:val="24"/>
            <w:u w:val="single"/>
            <w:rtl w:val="0"/>
          </w:rPr>
          <w:t xml:space="preserve">https://www.youtube.com/shorts/6Tr2FMkspic</w:t>
        </w:r>
      </w:hyperlink>
      <w:r w:rsidDel="00000000" w:rsidR="00000000" w:rsidRPr="00000000">
        <w:rPr>
          <w:rtl w:val="0"/>
        </w:rPr>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 Involving Lying and Falsification Purpose The Texas Board of Nursing (Board) is committed to its mission to protect the, accessed October 25, 2025, </w:t>
      </w:r>
      <w:hyperlink r:id="rId44">
        <w:r w:rsidDel="00000000" w:rsidR="00000000" w:rsidRPr="00000000">
          <w:rPr>
            <w:rFonts w:ascii="Google Sans" w:cs="Google Sans" w:eastAsia="Google Sans" w:hAnsi="Google Sans"/>
            <w:color w:val="0000ee"/>
            <w:sz w:val="24"/>
            <w:szCs w:val="24"/>
            <w:u w:val="single"/>
            <w:rtl w:val="0"/>
          </w:rPr>
          <w:t xml:space="preserve">https://www.bon.texas.gov/pdfs/disciplinary_sanction_policies_pdfs/Lying-and-Falsification.pdf</w:t>
        </w:r>
      </w:hyperlink>
      <w:r w:rsidDel="00000000" w:rsidR="00000000" w:rsidRPr="00000000">
        <w:rPr>
          <w:rtl w:val="0"/>
        </w:rPr>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Association of Shift-Level Nurse Staffing With Adverse Patient ..., accessed October 25, 2025,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https://www.researchgate.net/publication/49785330_The_Association_of_Shift-Level_Nurse_Staffing_With_Adverse_Patient_Events</w:t>
        </w:r>
      </w:hyperlink>
      <w:r w:rsidDel="00000000" w:rsidR="00000000" w:rsidRPr="00000000">
        <w:rPr>
          <w:rtl w:val="0"/>
        </w:rPr>
      </w:r>
    </w:p>
    <w:p w:rsidR="00000000" w:rsidDel="00000000" w:rsidP="00000000" w:rsidRDefault="00000000" w:rsidRPr="00000000" w14:paraId="0000010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temporary nurses and nurse and patient safety outcomes in acute care hospital units., accessed October 25, 2025, </w:t>
      </w:r>
      <w:hyperlink r:id="rId46">
        <w:r w:rsidDel="00000000" w:rsidR="00000000" w:rsidRPr="00000000">
          <w:rPr>
            <w:rFonts w:ascii="Google Sans" w:cs="Google Sans" w:eastAsia="Google Sans" w:hAnsi="Google Sans"/>
            <w:color w:val="0000ee"/>
            <w:sz w:val="24"/>
            <w:szCs w:val="24"/>
            <w:u w:val="single"/>
            <w:rtl w:val="0"/>
          </w:rPr>
          <w:t xml:space="preserve">https://psnet.ahrq.gov/issue/use-temporary-nurses-and-nurse-and-patient-safety-outcomes-acute-care-hospital-units</w:t>
        </w:r>
      </w:hyperlink>
      <w:r w:rsidDel="00000000" w:rsidR="00000000" w:rsidRPr="00000000">
        <w:rPr>
          <w:rtl w:val="0"/>
        </w:rPr>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Preventing the Consequences of Non-Compliance in Healthcare, accessed October 25, 2025, </w:t>
      </w:r>
      <w:hyperlink r:id="rId47">
        <w:r w:rsidDel="00000000" w:rsidR="00000000" w:rsidRPr="00000000">
          <w:rPr>
            <w:rFonts w:ascii="Google Sans" w:cs="Google Sans" w:eastAsia="Google Sans" w:hAnsi="Google Sans"/>
            <w:color w:val="0000ee"/>
            <w:sz w:val="24"/>
            <w:szCs w:val="24"/>
            <w:u w:val="single"/>
            <w:rtl w:val="0"/>
          </w:rPr>
          <w:t xml:space="preserve">https://verisys.com/blog/consequences-of-non-compliance-healthcare/</w:t>
        </w:r>
      </w:hyperlink>
      <w:r w:rsidDel="00000000" w:rsidR="00000000" w:rsidRPr="00000000">
        <w:rPr>
          <w:rtl w:val="0"/>
        </w:rPr>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Risks of Noncompliance in Healthcare | What You Need to Know - Compliancy Group, accessed October 25, 2025, </w:t>
      </w:r>
      <w:hyperlink r:id="rId48">
        <w:r w:rsidDel="00000000" w:rsidR="00000000" w:rsidRPr="00000000">
          <w:rPr>
            <w:rFonts w:ascii="Google Sans" w:cs="Google Sans" w:eastAsia="Google Sans" w:hAnsi="Google Sans"/>
            <w:color w:val="0000ee"/>
            <w:sz w:val="24"/>
            <w:szCs w:val="24"/>
            <w:u w:val="single"/>
            <w:rtl w:val="0"/>
          </w:rPr>
          <w:t xml:space="preserve">https://compliancy-group.com/risks-of-noncompliance-in-healthcare/</w:t>
        </w:r>
      </w:hyperlink>
      <w:r w:rsidDel="00000000" w:rsidR="00000000" w:rsidRPr="00000000">
        <w:rPr>
          <w:rtl w:val="0"/>
        </w:rPr>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Financial Impacts of Compliance Missteps - symplr, accessed October 25, 2025, </w:t>
      </w:r>
      <w:hyperlink r:id="rId49">
        <w:r w:rsidDel="00000000" w:rsidR="00000000" w:rsidRPr="00000000">
          <w:rPr>
            <w:rFonts w:ascii="Google Sans" w:cs="Google Sans" w:eastAsia="Google Sans" w:hAnsi="Google Sans"/>
            <w:color w:val="0000ee"/>
            <w:sz w:val="24"/>
            <w:szCs w:val="24"/>
            <w:u w:val="single"/>
            <w:rtl w:val="0"/>
          </w:rPr>
          <w:t xml:space="preserve">https://www.symplr.com/blog/financial-impacts-compliance-missteps</w:t>
        </w:r>
      </w:hyperlink>
      <w:r w:rsidDel="00000000" w:rsidR="00000000" w:rsidRPr="00000000">
        <w:rPr>
          <w:rtl w:val="0"/>
        </w:rPr>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Agency Nursing Staff Utilization and Turnover in Nursing Homes: A ..., accessed October 25, 2025,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https://pmc.ncbi.nlm.nih.gov/articles/PMC11855161/</w:t>
        </w:r>
      </w:hyperlink>
      <w:r w:rsidDel="00000000" w:rsidR="00000000" w:rsidRPr="00000000">
        <w:rPr>
          <w:rtl w:val="0"/>
        </w:rPr>
      </w:r>
    </w:p>
    <w:p w:rsidR="00000000" w:rsidDel="00000000" w:rsidP="00000000" w:rsidRDefault="00000000" w:rsidRPr="00000000" w14:paraId="0000010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Hospital Employment of Supplemental Registered Nurses ..., accessed October 25, 2025,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https://www.researchgate.net/publication/272512560_Hospital_Employment_of_Supplemental_Registered_Nurses_and_Patients'_Satisfaction_With_Care</w:t>
        </w:r>
      </w:hyperlink>
      <w:r w:rsidDel="00000000" w:rsidR="00000000" w:rsidRPr="00000000">
        <w:rPr>
          <w:rtl w:val="0"/>
        </w:rPr>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 Employment of Supplemental Registered Nurses and Patients' Satisfaction With Care - PMC - NIH, accessed October 25, 2025,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https://pmc.ncbi.nlm.nih.gov/articles/PMC4351807/</w:t>
        </w:r>
      </w:hyperlink>
      <w:r w:rsidDel="00000000" w:rsidR="00000000" w:rsidRPr="00000000">
        <w:rPr>
          <w:rtl w:val="0"/>
        </w:rPr>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Improvement in Safety Culture Linked to Better Patient and Staff ..., accessed October 25, 2025, </w:t>
      </w:r>
      <w:hyperlink r:id="rId53">
        <w:r w:rsidDel="00000000" w:rsidR="00000000" w:rsidRPr="00000000">
          <w:rPr>
            <w:rFonts w:ascii="Google Sans" w:cs="Google Sans" w:eastAsia="Google Sans" w:hAnsi="Google Sans"/>
            <w:color w:val="0000ee"/>
            <w:sz w:val="24"/>
            <w:szCs w:val="24"/>
            <w:u w:val="single"/>
            <w:rtl w:val="0"/>
          </w:rPr>
          <w:t xml:space="preserve">https://www.aha.org/guidesreports/2025-03-11-improvement-safety-culture-linked-better-patient-and-staff-outcomes</w:t>
        </w:r>
      </w:hyperlink>
      <w:r w:rsidDel="00000000" w:rsidR="00000000" w:rsidRPr="00000000">
        <w:rPr>
          <w:rtl w:val="0"/>
        </w:rPr>
      </w:r>
    </w:p>
    <w:p w:rsidR="00000000" w:rsidDel="00000000" w:rsidP="00000000" w:rsidRDefault="00000000" w:rsidRPr="00000000" w14:paraId="0000010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HCAHPS surveys: Why they're used and how to improve scores - Qualtrics, accessed October 25, 2025, </w:t>
      </w:r>
      <w:hyperlink r:id="rId54">
        <w:r w:rsidDel="00000000" w:rsidR="00000000" w:rsidRPr="00000000">
          <w:rPr>
            <w:rFonts w:ascii="Google Sans" w:cs="Google Sans" w:eastAsia="Google Sans" w:hAnsi="Google Sans"/>
            <w:color w:val="0000ee"/>
            <w:sz w:val="24"/>
            <w:szCs w:val="24"/>
            <w:u w:val="single"/>
            <w:rtl w:val="0"/>
          </w:rPr>
          <w:t xml:space="preserve">https://www.qualtrics.com/experience-management/customer/hcahps-surveys/</w:t>
        </w:r>
      </w:hyperlink>
      <w:r w:rsidDel="00000000" w:rsidR="00000000" w:rsidRPr="00000000">
        <w:rPr>
          <w:rtl w:val="0"/>
        </w:rPr>
      </w:r>
    </w:p>
    <w:p w:rsidR="00000000" w:rsidDel="00000000" w:rsidP="00000000" w:rsidRDefault="00000000" w:rsidRPr="00000000" w14:paraId="0000010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Proven Best Practices To Improve Your Credentialing Process - BlueStone Services, accessed October 25, 2025, </w:t>
      </w:r>
      <w:hyperlink r:id="rId55">
        <w:r w:rsidDel="00000000" w:rsidR="00000000" w:rsidRPr="00000000">
          <w:rPr>
            <w:rFonts w:ascii="Google Sans" w:cs="Google Sans" w:eastAsia="Google Sans" w:hAnsi="Google Sans"/>
            <w:color w:val="0000ee"/>
            <w:sz w:val="24"/>
            <w:szCs w:val="24"/>
            <w:u w:val="single"/>
            <w:rtl w:val="0"/>
          </w:rPr>
          <w:t xml:space="preserve">https://www.bluestonesvc.com/blog/best-practices-to-help-your-credentialing-process/</w:t>
        </w:r>
      </w:hyperlink>
      <w:r w:rsidDel="00000000" w:rsidR="00000000" w:rsidRPr="00000000">
        <w:rPr>
          <w:rtl w:val="0"/>
        </w:rPr>
      </w:r>
    </w:p>
    <w:p w:rsidR="00000000" w:rsidDel="00000000" w:rsidP="00000000" w:rsidRDefault="00000000" w:rsidRPr="00000000" w14:paraId="000001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Premier White Paper: Optimizing The Credentialing Process, accessed October 25, 2025, </w:t>
      </w:r>
      <w:hyperlink r:id="rId56">
        <w:r w:rsidDel="00000000" w:rsidR="00000000" w:rsidRPr="00000000">
          <w:rPr>
            <w:rFonts w:ascii="Google Sans" w:cs="Google Sans" w:eastAsia="Google Sans" w:hAnsi="Google Sans"/>
            <w:color w:val="0000ee"/>
            <w:sz w:val="24"/>
            <w:szCs w:val="24"/>
            <w:u w:val="single"/>
            <w:rtl w:val="0"/>
          </w:rPr>
          <w:t xml:space="preserve">http://offers.premierinc.com/-WP-Credentailing.html</w:t>
        </w:r>
      </w:hyperlink>
      <w:r w:rsidDel="00000000" w:rsidR="00000000" w:rsidRPr="00000000">
        <w:rPr>
          <w:rtl w:val="0"/>
        </w:rPr>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Best Practices for Successful Clinician Credentialing - Kimedics, accessed October 25, 2025, </w:t>
      </w:r>
      <w:hyperlink r:id="rId57">
        <w:r w:rsidDel="00000000" w:rsidR="00000000" w:rsidRPr="00000000">
          <w:rPr>
            <w:rFonts w:ascii="Google Sans" w:cs="Google Sans" w:eastAsia="Google Sans" w:hAnsi="Google Sans"/>
            <w:color w:val="0000ee"/>
            <w:sz w:val="24"/>
            <w:szCs w:val="24"/>
            <w:u w:val="single"/>
            <w:rtl w:val="0"/>
          </w:rPr>
          <w:t xml:space="preserve">https://www.kimedics.com/blog/clinician-credentialing</w:t>
        </w:r>
      </w:hyperlink>
      <w:r w:rsidDel="00000000" w:rsidR="00000000" w:rsidRPr="00000000">
        <w:rPr>
          <w:rtl w:val="0"/>
        </w:rPr>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for an Improved Medical Credentialing Process - Verifiable, accessed October 25, 2025, </w:t>
      </w:r>
      <w:hyperlink r:id="rId58">
        <w:r w:rsidDel="00000000" w:rsidR="00000000" w:rsidRPr="00000000">
          <w:rPr>
            <w:rFonts w:ascii="Google Sans" w:cs="Google Sans" w:eastAsia="Google Sans" w:hAnsi="Google Sans"/>
            <w:color w:val="0000ee"/>
            <w:sz w:val="24"/>
            <w:szCs w:val="24"/>
            <w:u w:val="single"/>
            <w:rtl w:val="0"/>
          </w:rPr>
          <w:t xml:space="preserve">https://verifiable.com/blog/tips-for-an-improved-medical-credentialing-process</w:t>
        </w:r>
      </w:hyperlink>
      <w:r w:rsidDel="00000000" w:rsidR="00000000" w:rsidRPr="00000000">
        <w:rPr>
          <w:rtl w:val="0"/>
        </w:rPr>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Key Frameworks for Developing Effective Healthcare Compliance Programs in Today's Regulatory Environment | Simbo AI - Blogs, accessed October 25, 2025, </w:t>
      </w:r>
      <w:hyperlink r:id="rId59">
        <w:r w:rsidDel="00000000" w:rsidR="00000000" w:rsidRPr="00000000">
          <w:rPr>
            <w:rFonts w:ascii="Google Sans" w:cs="Google Sans" w:eastAsia="Google Sans" w:hAnsi="Google Sans"/>
            <w:color w:val="0000ee"/>
            <w:sz w:val="24"/>
            <w:szCs w:val="24"/>
            <w:u w:val="single"/>
            <w:rtl w:val="0"/>
          </w:rPr>
          <w:t xml:space="preserve">https://www.simbo.ai/blog/understanding-the-key-frameworks-for-developing-effective-healthcare-compliance-programs-in-today-s-regulatory-environment-3810416/</w:t>
        </w:r>
      </w:hyperlink>
      <w:r w:rsidDel="00000000" w:rsidR="00000000" w:rsidRPr="00000000">
        <w:rPr>
          <w:rtl w:val="0"/>
        </w:rPr>
      </w:r>
    </w:p>
    <w:p w:rsidR="00000000" w:rsidDel="00000000" w:rsidP="00000000" w:rsidRDefault="00000000" w:rsidRPr="00000000" w14:paraId="000001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Provider Credentialing: A Comprehensive Guide - HealthStream, accessed October 25, 2025, </w:t>
      </w:r>
      <w:hyperlink r:id="rId60">
        <w:r w:rsidDel="00000000" w:rsidR="00000000" w:rsidRPr="00000000">
          <w:rPr>
            <w:rFonts w:ascii="Google Sans" w:cs="Google Sans" w:eastAsia="Google Sans" w:hAnsi="Google Sans"/>
            <w:color w:val="0000ee"/>
            <w:sz w:val="24"/>
            <w:szCs w:val="24"/>
            <w:u w:val="single"/>
            <w:rtl w:val="0"/>
          </w:rPr>
          <w:t xml:space="preserve">https://www.healthstream.com/resources/the-ultimate-guide-to-provider-credentialing-eveything-you-need-to-know</w:t>
        </w:r>
      </w:hyperlink>
      <w:r w:rsidDel="00000000" w:rsidR="00000000" w:rsidRPr="00000000">
        <w:rPr>
          <w:rtl w:val="0"/>
        </w:rPr>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Credentialing and Privileging Provider Profiling - StatPearls - NCBI Bookshelf - NIH, accessed October 25, 2025, </w:t>
      </w:r>
      <w:hyperlink r:id="rId61">
        <w:r w:rsidDel="00000000" w:rsidR="00000000" w:rsidRPr="00000000">
          <w:rPr>
            <w:rFonts w:ascii="Google Sans" w:cs="Google Sans" w:eastAsia="Google Sans" w:hAnsi="Google Sans"/>
            <w:color w:val="0000ee"/>
            <w:sz w:val="24"/>
            <w:szCs w:val="24"/>
            <w:u w:val="single"/>
            <w:rtl w:val="0"/>
          </w:rPr>
          <w:t xml:space="preserve">https://www.ncbi.nlm.nih.gov/books/NBK603712/</w:t>
        </w:r>
      </w:hyperlink>
      <w:r w:rsidDel="00000000" w:rsidR="00000000" w:rsidRPr="00000000">
        <w:rPr>
          <w:rtl w:val="0"/>
        </w:rPr>
      </w:r>
    </w:p>
    <w:p w:rsidR="00000000" w:rsidDel="00000000" w:rsidP="00000000" w:rsidRDefault="00000000" w:rsidRPr="00000000" w14:paraId="000001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Credentialing Compliance: Staying Updated with Joint Commission ..., accessed October 25, 2025, </w:t>
      </w:r>
      <w:hyperlink r:id="rId62">
        <w:r w:rsidDel="00000000" w:rsidR="00000000" w:rsidRPr="00000000">
          <w:rPr>
            <w:rFonts w:ascii="Google Sans" w:cs="Google Sans" w:eastAsia="Google Sans" w:hAnsi="Google Sans"/>
            <w:color w:val="0000ee"/>
            <w:sz w:val="24"/>
            <w:szCs w:val="24"/>
            <w:u w:val="single"/>
            <w:rtl w:val="0"/>
          </w:rPr>
          <w:t xml:space="preserve">https://medwave.io/2025/02/credentialing-compliance-staying-updated-with-joint-commission-standards/</w:t>
        </w:r>
      </w:hyperlink>
      <w:r w:rsidDel="00000000" w:rsidR="00000000" w:rsidRPr="00000000">
        <w:rPr>
          <w:rtl w:val="0"/>
        </w:rPr>
      </w:r>
    </w:p>
    <w:p w:rsidR="00000000" w:rsidDel="00000000" w:rsidP="00000000" w:rsidRDefault="00000000" w:rsidRPr="00000000" w14:paraId="000001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ROI of Automated Credentialing in Nursing Homes: Comprehensive Analysis - Perla, accessed October 25, 2025, </w:t>
      </w:r>
      <w:hyperlink r:id="rId63">
        <w:r w:rsidDel="00000000" w:rsidR="00000000" w:rsidRPr="00000000">
          <w:rPr>
            <w:rFonts w:ascii="Google Sans" w:cs="Google Sans" w:eastAsia="Google Sans" w:hAnsi="Google Sans"/>
            <w:color w:val="0000ee"/>
            <w:sz w:val="24"/>
            <w:szCs w:val="24"/>
            <w:u w:val="single"/>
            <w:rtl w:val="0"/>
          </w:rPr>
          <w:t xml:space="preserve">https://www.goperla.com/blog/roi-of-automated-credentialing-nursing-homes</w:t>
        </w:r>
      </w:hyperlink>
      <w:r w:rsidDel="00000000" w:rsidR="00000000" w:rsidRPr="00000000">
        <w:rPr>
          <w:rtl w:val="0"/>
        </w:rPr>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ROI on Outsourced Medical Credentialing - Medwave, accessed October 25, 2025, </w:t>
      </w:r>
      <w:hyperlink r:id="rId64">
        <w:r w:rsidDel="00000000" w:rsidR="00000000" w:rsidRPr="00000000">
          <w:rPr>
            <w:rFonts w:ascii="Google Sans" w:cs="Google Sans" w:eastAsia="Google Sans" w:hAnsi="Google Sans"/>
            <w:color w:val="0000ee"/>
            <w:sz w:val="24"/>
            <w:szCs w:val="24"/>
            <w:u w:val="single"/>
            <w:rtl w:val="0"/>
          </w:rPr>
          <w:t xml:space="preserve">https://medwave.io/2025/01/the-roi-on-outsourced-medical-credentialing/</w:t>
        </w:r>
      </w:hyperlink>
      <w:r w:rsidDel="00000000" w:rsidR="00000000" w:rsidRPr="00000000">
        <w:rPr>
          <w:rtl w:val="0"/>
        </w:rPr>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ROI of Healthcare Compliance: A symplr Value Proposition, accessed October 25, 2025, </w:t>
      </w:r>
      <w:hyperlink r:id="rId65">
        <w:r w:rsidDel="00000000" w:rsidR="00000000" w:rsidRPr="00000000">
          <w:rPr>
            <w:rFonts w:ascii="Google Sans" w:cs="Google Sans" w:eastAsia="Google Sans" w:hAnsi="Google Sans"/>
            <w:color w:val="0000ee"/>
            <w:sz w:val="24"/>
            <w:szCs w:val="24"/>
            <w:u w:val="single"/>
            <w:rtl w:val="0"/>
          </w:rPr>
          <w:t xml:space="preserve">https://www.symplr.com/blog/roi-healthcare-compliance-symplr-value</w:t>
        </w:r>
      </w:hyperlink>
      <w:r w:rsidDel="00000000" w:rsidR="00000000" w:rsidRPr="00000000">
        <w:rPr>
          <w:rtl w:val="0"/>
        </w:rPr>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Provider Credentialing Costs Breakdown: ROI Strategies for Healthcare Employers - DirectShifts, accessed October 25, 2025, </w:t>
      </w:r>
      <w:hyperlink r:id="rId66">
        <w:r w:rsidDel="00000000" w:rsidR="00000000" w:rsidRPr="00000000">
          <w:rPr>
            <w:rFonts w:ascii="Google Sans" w:cs="Google Sans" w:eastAsia="Google Sans" w:hAnsi="Google Sans"/>
            <w:color w:val="0000ee"/>
            <w:sz w:val="24"/>
            <w:szCs w:val="24"/>
            <w:u w:val="single"/>
            <w:rtl w:val="0"/>
          </w:rPr>
          <w:t xml:space="preserve">https://www.directshifts.com/employer-resources/healthcare-provider-credentialing-costs-breakdown-roi-strategies-for-healthcare-employers</w:t>
        </w:r>
      </w:hyperlink>
      <w:r w:rsidDel="00000000" w:rsidR="00000000" w:rsidRPr="00000000">
        <w:rPr>
          <w:rtl w:val="0"/>
        </w:rPr>
      </w:r>
    </w:p>
    <w:p w:rsidR="00000000" w:rsidDel="00000000" w:rsidP="00000000" w:rsidRDefault="00000000" w:rsidRPr="00000000" w14:paraId="0000011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Credentialing ROI: How Streamlined Processes Save Time, Money, and Morale, accessed October 25, 2025, </w:t>
      </w:r>
      <w:hyperlink r:id="rId67">
        <w:r w:rsidDel="00000000" w:rsidR="00000000" w:rsidRPr="00000000">
          <w:rPr>
            <w:rFonts w:ascii="Google Sans" w:cs="Google Sans" w:eastAsia="Google Sans" w:hAnsi="Google Sans"/>
            <w:color w:val="0000ee"/>
            <w:sz w:val="24"/>
            <w:szCs w:val="24"/>
            <w:u w:val="single"/>
            <w:rtl w:val="0"/>
          </w:rPr>
          <w:t xml:space="preserve">https://www.radiant.healthcare/insights-analysis/credentialing-roi-how-streamlined-processes-save-time-money-and-morale</w:t>
        </w:r>
      </w:hyperlink>
      <w:r w:rsidDel="00000000" w:rsidR="00000000" w:rsidRPr="00000000">
        <w:rPr>
          <w:rtl w:val="0"/>
        </w:rPr>
      </w:r>
    </w:p>
    <w:p w:rsidR="00000000" w:rsidDel="00000000" w:rsidP="00000000" w:rsidRDefault="00000000" w:rsidRPr="00000000" w14:paraId="0000011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the ROI of Automated Credentialing | Certify - CertifyOS, accessed October 25, 2025, </w:t>
      </w:r>
      <w:hyperlink r:id="rId68">
        <w:r w:rsidDel="00000000" w:rsidR="00000000" w:rsidRPr="00000000">
          <w:rPr>
            <w:rFonts w:ascii="Google Sans" w:cs="Google Sans" w:eastAsia="Google Sans" w:hAnsi="Google Sans"/>
            <w:color w:val="0000ee"/>
            <w:sz w:val="24"/>
            <w:szCs w:val="24"/>
            <w:u w:val="single"/>
            <w:rtl w:val="0"/>
          </w:rPr>
          <w:t xml:space="preserve">https://www.certifyos.com/resources/blog/roi-automated-credentialing</w:t>
        </w:r>
      </w:hyperlink>
      <w:r w:rsidDel="00000000" w:rsidR="00000000" w:rsidRPr="00000000">
        <w:rPr>
          <w:rtl w:val="0"/>
        </w:rPr>
      </w:r>
    </w:p>
    <w:p w:rsidR="00000000" w:rsidDel="00000000" w:rsidP="00000000" w:rsidRDefault="00000000" w:rsidRPr="00000000" w14:paraId="0000011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ROI in AI medical coding and Billing | Smart Automation - ArtigenTech, accessed October 25, 2025, </w:t>
      </w:r>
      <w:hyperlink r:id="rId69">
        <w:r w:rsidDel="00000000" w:rsidR="00000000" w:rsidRPr="00000000">
          <w:rPr>
            <w:rFonts w:ascii="Google Sans" w:cs="Google Sans" w:eastAsia="Google Sans" w:hAnsi="Google Sans"/>
            <w:color w:val="0000ee"/>
            <w:sz w:val="24"/>
            <w:szCs w:val="24"/>
            <w:u w:val="single"/>
            <w:rtl w:val="0"/>
          </w:rPr>
          <w:t xml:space="preserve">https://www.artigentech.com/newsletter/roi-in-ai-medical-coding-and-billing/</w:t>
        </w:r>
      </w:hyperlink>
      <w:r w:rsidDel="00000000" w:rsidR="00000000" w:rsidRPr="00000000">
        <w:rPr>
          <w:rtl w:val="0"/>
        </w:rPr>
      </w:r>
    </w:p>
    <w:p w:rsidR="00000000" w:rsidDel="00000000" w:rsidP="00000000" w:rsidRDefault="00000000" w:rsidRPr="00000000" w14:paraId="0000011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AI-Powered Healthcare Credentialing Boosts Return on Investment - MedTrainer, accessed October 25, 2025, </w:t>
      </w:r>
      <w:hyperlink r:id="rId70">
        <w:r w:rsidDel="00000000" w:rsidR="00000000" w:rsidRPr="00000000">
          <w:rPr>
            <w:rFonts w:ascii="Google Sans" w:cs="Google Sans" w:eastAsia="Google Sans" w:hAnsi="Google Sans"/>
            <w:color w:val="0000ee"/>
            <w:sz w:val="24"/>
            <w:szCs w:val="24"/>
            <w:u w:val="single"/>
            <w:rtl w:val="0"/>
          </w:rPr>
          <w:t xml:space="preserve">https://medtrainer.com/blog/ai-powered-healthcare-credentialing-boosts-roi/</w:t>
        </w:r>
      </w:hyperlink>
      <w:r w:rsidDel="00000000" w:rsidR="00000000" w:rsidRPr="00000000">
        <w:rPr>
          <w:rtl w:val="0"/>
        </w:rPr>
      </w:r>
    </w:p>
    <w:p w:rsidR="00000000" w:rsidDel="00000000" w:rsidP="00000000" w:rsidRDefault="00000000" w:rsidRPr="00000000" w14:paraId="0000011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Preparing for Joint Commission Accreditation Surveys in 2025 - JD Healthcare Consultants, accessed October 25, 2025, </w:t>
      </w:r>
      <w:hyperlink r:id="rId71">
        <w:r w:rsidDel="00000000" w:rsidR="00000000" w:rsidRPr="00000000">
          <w:rPr>
            <w:rFonts w:ascii="Google Sans" w:cs="Google Sans" w:eastAsia="Google Sans" w:hAnsi="Google Sans"/>
            <w:color w:val="0000ee"/>
            <w:sz w:val="24"/>
            <w:szCs w:val="24"/>
            <w:u w:val="single"/>
            <w:rtl w:val="0"/>
          </w:rPr>
          <w:t xml:space="preserve">https://jdhc.us/blog/preparing-for-joint-commission-accreditation-surveys-in-2025</w:t>
        </w:r>
      </w:hyperlink>
      <w:r w:rsidDel="00000000" w:rsidR="00000000" w:rsidRPr="00000000">
        <w:rPr>
          <w:rtl w:val="0"/>
        </w:rPr>
      </w:r>
    </w:p>
    <w:p w:rsidR="00000000" w:rsidDel="00000000" w:rsidP="00000000" w:rsidRDefault="00000000" w:rsidRPr="00000000" w14:paraId="0000011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Hospital Compliance Assessment Workbook | Joint Commission Resources, accessed October 25, 2025, </w:t>
      </w:r>
      <w:hyperlink r:id="rId72">
        <w:r w:rsidDel="00000000" w:rsidR="00000000" w:rsidRPr="00000000">
          <w:rPr>
            <w:rFonts w:ascii="Google Sans" w:cs="Google Sans" w:eastAsia="Google Sans" w:hAnsi="Google Sans"/>
            <w:color w:val="0000ee"/>
            <w:sz w:val="24"/>
            <w:szCs w:val="24"/>
            <w:u w:val="single"/>
            <w:rtl w:val="0"/>
          </w:rPr>
          <w:t xml:space="preserve">https://store.jcrinc.com/2025-hospital-compliance-assessment-workbook/</w:t>
        </w:r>
      </w:hyperlink>
      <w:r w:rsidDel="00000000" w:rsidR="00000000" w:rsidRPr="00000000">
        <w:rPr>
          <w:rtl w:val="0"/>
        </w:rPr>
      </w:r>
    </w:p>
    <w:p w:rsidR="00000000" w:rsidDel="00000000" w:rsidP="00000000" w:rsidRDefault="00000000" w:rsidRPr="00000000" w14:paraId="0000011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are Soft Skills in Healthcare Important? - Online Programs, accessed October 25, 2025, </w:t>
      </w:r>
      <w:hyperlink r:id="rId73">
        <w:r w:rsidDel="00000000" w:rsidR="00000000" w:rsidRPr="00000000">
          <w:rPr>
            <w:rFonts w:ascii="Google Sans" w:cs="Google Sans" w:eastAsia="Google Sans" w:hAnsi="Google Sans"/>
            <w:color w:val="0000ee"/>
            <w:sz w:val="24"/>
            <w:szCs w:val="24"/>
            <w:u w:val="single"/>
            <w:rtl w:val="0"/>
          </w:rPr>
          <w:t xml:space="preserve">https://onlineprograms.case.edu/mba/blog/why-soft-skills-are-important-in-healthcare/</w:t>
        </w:r>
      </w:hyperlink>
      <w:r w:rsidDel="00000000" w:rsidR="00000000" w:rsidRPr="00000000">
        <w:rPr>
          <w:rtl w:val="0"/>
        </w:rPr>
      </w:r>
    </w:p>
    <w:p w:rsidR="00000000" w:rsidDel="00000000" w:rsidP="00000000" w:rsidRDefault="00000000" w:rsidRPr="00000000" w14:paraId="0000011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Soft Skills in Healthcare Jobs - Prolink, accessed October 25, 2025, </w:t>
      </w:r>
      <w:hyperlink r:id="rId74">
        <w:r w:rsidDel="00000000" w:rsidR="00000000" w:rsidRPr="00000000">
          <w:rPr>
            <w:rFonts w:ascii="Google Sans" w:cs="Google Sans" w:eastAsia="Google Sans" w:hAnsi="Google Sans"/>
            <w:color w:val="0000ee"/>
            <w:sz w:val="24"/>
            <w:szCs w:val="24"/>
            <w:u w:val="single"/>
            <w:rtl w:val="0"/>
          </w:rPr>
          <w:t xml:space="preserve">https://prolinkworks.com/perspectives/importance-of-soft-skills-in-healthcare-jobs</w:t>
        </w:r>
      </w:hyperlink>
      <w:r w:rsidDel="00000000" w:rsidR="00000000" w:rsidRPr="00000000">
        <w:rPr>
          <w:rtl w:val="0"/>
        </w:rPr>
      </w:r>
    </w:p>
    <w:p w:rsidR="00000000" w:rsidDel="00000000" w:rsidP="00000000" w:rsidRDefault="00000000" w:rsidRPr="00000000" w14:paraId="0000012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Promoting soft skills with the HOT (Higher Order Thinking) sheet assignment - aabri, accessed October 25, 2025, </w:t>
      </w:r>
      <w:hyperlink r:id="rId75">
        <w:r w:rsidDel="00000000" w:rsidR="00000000" w:rsidRPr="00000000">
          <w:rPr>
            <w:rFonts w:ascii="Google Sans" w:cs="Google Sans" w:eastAsia="Google Sans" w:hAnsi="Google Sans"/>
            <w:color w:val="0000ee"/>
            <w:sz w:val="24"/>
            <w:szCs w:val="24"/>
            <w:u w:val="single"/>
            <w:rtl w:val="0"/>
          </w:rPr>
          <w:t xml:space="preserve">https://www.aabri.com/manuscripts/182976.pdf</w:t>
        </w:r>
      </w:hyperlink>
      <w:r w:rsidDel="00000000" w:rsidR="00000000" w:rsidRPr="00000000">
        <w:rPr>
          <w:rtl w:val="0"/>
        </w:rPr>
      </w:r>
    </w:p>
    <w:p w:rsidR="00000000" w:rsidDel="00000000" w:rsidP="00000000" w:rsidRDefault="00000000" w:rsidRPr="00000000" w14:paraId="0000012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Promote a Culture of Safety in Healthcare &amp; Nursing: 4 Tips, accessed October 25, 2025, </w:t>
      </w:r>
      <w:hyperlink r:id="rId76">
        <w:r w:rsidDel="00000000" w:rsidR="00000000" w:rsidRPr="00000000">
          <w:rPr>
            <w:rFonts w:ascii="Google Sans" w:cs="Google Sans" w:eastAsia="Google Sans" w:hAnsi="Google Sans"/>
            <w:color w:val="0000ee"/>
            <w:sz w:val="24"/>
            <w:szCs w:val="24"/>
            <w:u w:val="single"/>
            <w:rtl w:val="0"/>
          </w:rPr>
          <w:t xml:space="preserve">https://peacefulleadersacademy.com/blog/how-to-promote-a-culture-of-safety-healthcare-nursing/</w:t>
        </w:r>
      </w:hyperlink>
      <w:r w:rsidDel="00000000" w:rsidR="00000000" w:rsidRPr="00000000">
        <w:rPr>
          <w:rtl w:val="0"/>
        </w:rPr>
      </w:r>
    </w:p>
    <w:p w:rsidR="00000000" w:rsidDel="00000000" w:rsidP="00000000" w:rsidRDefault="00000000" w:rsidRPr="00000000" w14:paraId="0000012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Linking transformational leadership, patient safety culture and work engagement in home care services - PMC - PubMed Central, accessed October 25, 2025, </w:t>
      </w:r>
      <w:hyperlink r:id="rId77">
        <w:r w:rsidDel="00000000" w:rsidR="00000000" w:rsidRPr="00000000">
          <w:rPr>
            <w:rFonts w:ascii="Google Sans" w:cs="Google Sans" w:eastAsia="Google Sans" w:hAnsi="Google Sans"/>
            <w:color w:val="0000ee"/>
            <w:sz w:val="24"/>
            <w:szCs w:val="24"/>
            <w:u w:val="single"/>
            <w:rtl w:val="0"/>
          </w:rPr>
          <w:t xml:space="preserve">https://pmc.ncbi.nlm.nih.gov/articles/PMC6917935/</w:t>
        </w:r>
      </w:hyperlink>
      <w:r w:rsidDel="00000000" w:rsidR="00000000" w:rsidRPr="00000000">
        <w:rPr>
          <w:rtl w:val="0"/>
        </w:rPr>
      </w:r>
    </w:p>
    <w:p w:rsidR="00000000" w:rsidDel="00000000" w:rsidP="00000000" w:rsidRDefault="00000000" w:rsidRPr="00000000" w14:paraId="0000012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Healing with Heart: The Importance of Soft Skills Assessment in Healthcare Hiring - Jobma, accessed October 25, 2025, </w:t>
      </w:r>
      <w:hyperlink r:id="rId78">
        <w:r w:rsidDel="00000000" w:rsidR="00000000" w:rsidRPr="00000000">
          <w:rPr>
            <w:rFonts w:ascii="Google Sans" w:cs="Google Sans" w:eastAsia="Google Sans" w:hAnsi="Google Sans"/>
            <w:color w:val="0000ee"/>
            <w:sz w:val="24"/>
            <w:szCs w:val="24"/>
            <w:u w:val="single"/>
            <w:rtl w:val="0"/>
          </w:rPr>
          <w:t xml:space="preserve">https://www.jobma.com/blog/importance-of-soft-skills-assessment-in-healthcare-hiring/</w:t>
        </w:r>
      </w:hyperlink>
      <w:r w:rsidDel="00000000" w:rsidR="00000000" w:rsidRPr="00000000">
        <w:rPr>
          <w:rtl w:val="0"/>
        </w:rPr>
      </w:r>
    </w:p>
    <w:p w:rsidR="00000000" w:rsidDel="00000000" w:rsidP="00000000" w:rsidRDefault="00000000" w:rsidRPr="00000000" w14:paraId="0000012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Medical Staffing Solutions Matter | Jadeer, accessed October 25, 2025, </w:t>
      </w:r>
      <w:hyperlink r:id="rId79">
        <w:r w:rsidDel="00000000" w:rsidR="00000000" w:rsidRPr="00000000">
          <w:rPr>
            <w:rFonts w:ascii="Google Sans" w:cs="Google Sans" w:eastAsia="Google Sans" w:hAnsi="Google Sans"/>
            <w:color w:val="0000ee"/>
            <w:sz w:val="24"/>
            <w:szCs w:val="24"/>
            <w:u w:val="single"/>
            <w:rtl w:val="0"/>
          </w:rPr>
          <w:t xml:space="preserve">https://jadeer.ai/why-medical-staffing-solutions-matter/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n.ca.gov/education/nightingale.shtml" TargetMode="External"/><Relationship Id="rId42" Type="http://schemas.openxmlformats.org/officeDocument/2006/relationships/hyperlink" Target="https://www.youtube.com/watch?v=adRAKRnhZSg" TargetMode="External"/><Relationship Id="rId41" Type="http://schemas.openxmlformats.org/officeDocument/2006/relationships/hyperlink" Target="https://kffhealthnews.org/morning-breakout/a-fake-nurse-diploma-mill-uncovered/" TargetMode="External"/><Relationship Id="rId44" Type="http://schemas.openxmlformats.org/officeDocument/2006/relationships/hyperlink" Target="https://www.bon.texas.gov/pdfs/disciplinary_sanction_policies_pdfs/Lying-and-Falsification.pdf" TargetMode="External"/><Relationship Id="rId43" Type="http://schemas.openxmlformats.org/officeDocument/2006/relationships/hyperlink" Target="https://www.youtube.com/shorts/6Tr2FMkspic" TargetMode="External"/><Relationship Id="rId46" Type="http://schemas.openxmlformats.org/officeDocument/2006/relationships/hyperlink" Target="https://psnet.ahrq.gov/issue/use-temporary-nurses-and-nurse-and-patient-safety-outcomes-acute-care-hospital-units" TargetMode="External"/><Relationship Id="rId45" Type="http://schemas.openxmlformats.org/officeDocument/2006/relationships/hyperlink" Target="https://www.researchgate.net/publication/49785330_The_Association_of_Shift-Level_Nurse_Staffing_With_Adverse_Patient_Ev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w.lis.virginia.gov/admincodefull/title12/agency5/chapter371/" TargetMode="External"/><Relationship Id="rId48" Type="http://schemas.openxmlformats.org/officeDocument/2006/relationships/hyperlink" Target="https://compliancy-group.com/risks-of-noncompliance-in-healthcare/" TargetMode="External"/><Relationship Id="rId47" Type="http://schemas.openxmlformats.org/officeDocument/2006/relationships/hyperlink" Target="https://verisys.com/blog/consequences-of-non-compliance-healthcare/" TargetMode="External"/><Relationship Id="rId49" Type="http://schemas.openxmlformats.org/officeDocument/2006/relationships/hyperlink" Target="https://www.symplr.com/blog/financial-impacts-compliance-missteps" TargetMode="External"/><Relationship Id="rId5" Type="http://schemas.openxmlformats.org/officeDocument/2006/relationships/styles" Target="styles.xml"/><Relationship Id="rId6" Type="http://schemas.openxmlformats.org/officeDocument/2006/relationships/hyperlink" Target="https://www.ascen.com/blog/health-care-staffing-agencies-which-states-require-a-license" TargetMode="External"/><Relationship Id="rId7" Type="http://schemas.openxmlformats.org/officeDocument/2006/relationships/hyperlink" Target="https://ldh.la.gov/health-standards-section/nurse-staffing-agencies" TargetMode="External"/><Relationship Id="rId8" Type="http://schemas.openxmlformats.org/officeDocument/2006/relationships/hyperlink" Target="https://www.health.ny.gov/facilities/staffing_agency/" TargetMode="External"/><Relationship Id="rId73" Type="http://schemas.openxmlformats.org/officeDocument/2006/relationships/hyperlink" Target="https://onlineprograms.case.edu/mba/blog/why-soft-skills-are-important-in-healthcare/" TargetMode="External"/><Relationship Id="rId72" Type="http://schemas.openxmlformats.org/officeDocument/2006/relationships/hyperlink" Target="https://store.jcrinc.com/2025-hospital-compliance-assessment-workbook/" TargetMode="External"/><Relationship Id="rId31" Type="http://schemas.openxmlformats.org/officeDocument/2006/relationships/hyperlink" Target="https://www.ncbi.nlm.nih.gov/books/NBK557846/" TargetMode="External"/><Relationship Id="rId75" Type="http://schemas.openxmlformats.org/officeDocument/2006/relationships/hyperlink" Target="https://www.aabri.com/manuscripts/182976.pdf" TargetMode="External"/><Relationship Id="rId30" Type="http://schemas.openxmlformats.org/officeDocument/2006/relationships/hyperlink" Target="https://camp-pendleton.tricare.mil/Portals/113/Documents/NHCP_JC_PocketGuide_APR2022v3_002.pdf?ver=uGQO_0yH4Nz_hsRUmu7d-Q%3D%3D" TargetMode="External"/><Relationship Id="rId74" Type="http://schemas.openxmlformats.org/officeDocument/2006/relationships/hyperlink" Target="https://prolinkworks.com/perspectives/importance-of-soft-skills-in-healthcare-jobs" TargetMode="External"/><Relationship Id="rId33" Type="http://schemas.openxmlformats.org/officeDocument/2006/relationships/hyperlink" Target="https://verisys.com/blog/credentialing-and-privileging-in-healthcare/" TargetMode="External"/><Relationship Id="rId77" Type="http://schemas.openxmlformats.org/officeDocument/2006/relationships/hyperlink" Target="https://pmc.ncbi.nlm.nih.gov/articles/PMC6917935/" TargetMode="External"/><Relationship Id="rId32" Type="http://schemas.openxmlformats.org/officeDocument/2006/relationships/hyperlink" Target="https://www.harborcompliance.com/medical-staffing-agency-license" TargetMode="External"/><Relationship Id="rId76" Type="http://schemas.openxmlformats.org/officeDocument/2006/relationships/hyperlink" Target="https://peacefulleadersacademy.com/blog/how-to-promote-a-culture-of-safety-healthcare-nursing/" TargetMode="External"/><Relationship Id="rId35" Type="http://schemas.openxmlformats.org/officeDocument/2006/relationships/hyperlink" Target="https://oig.hhs.gov/exclusions/" TargetMode="External"/><Relationship Id="rId79" Type="http://schemas.openxmlformats.org/officeDocument/2006/relationships/hyperlink" Target="https://jadeer.ai/why-medical-staffing-solutions-matter/" TargetMode="External"/><Relationship Id="rId34" Type="http://schemas.openxmlformats.org/officeDocument/2006/relationships/hyperlink" Target="https://www.hipaajournal.com/hhs-oig-exclusion-check/" TargetMode="External"/><Relationship Id="rId78" Type="http://schemas.openxmlformats.org/officeDocument/2006/relationships/hyperlink" Target="https://www.jobma.com/blog/importance-of-soft-skills-assessment-in-healthcare-hiring/" TargetMode="External"/><Relationship Id="rId71" Type="http://schemas.openxmlformats.org/officeDocument/2006/relationships/hyperlink" Target="https://jdhc.us/blog/preparing-for-joint-commission-accreditation-surveys-in-2025" TargetMode="External"/><Relationship Id="rId70" Type="http://schemas.openxmlformats.org/officeDocument/2006/relationships/hyperlink" Target="https://medtrainer.com/blog/ai-powered-healthcare-credentialing-boosts-roi/" TargetMode="External"/><Relationship Id="rId37" Type="http://schemas.openxmlformats.org/officeDocument/2006/relationships/hyperlink" Target="https://www.hipaajournal.com/hhs-oig-exclusions-penalties-employing-excluded-individuals/" TargetMode="External"/><Relationship Id="rId36" Type="http://schemas.openxmlformats.org/officeDocument/2006/relationships/hyperlink" Target="https://oig.hhs.gov/fraud/enforcement/?type=cmp-and-affirmative-exclusions" TargetMode="External"/><Relationship Id="rId39" Type="http://schemas.openxmlformats.org/officeDocument/2006/relationships/hyperlink" Target="https://www.nurse.com/blog/who-is-an-agency-nurses-employer-for-purposes-of-liability/" TargetMode="External"/><Relationship Id="rId38" Type="http://schemas.openxmlformats.org/officeDocument/2006/relationships/hyperlink" Target="https://www.groupmgmt.com/blog/negligent-hiring-and-background-checks/" TargetMode="External"/><Relationship Id="rId62" Type="http://schemas.openxmlformats.org/officeDocument/2006/relationships/hyperlink" Target="https://medwave.io/2025/02/credentialing-compliance-staying-updated-with-joint-commission-standards/" TargetMode="External"/><Relationship Id="rId61" Type="http://schemas.openxmlformats.org/officeDocument/2006/relationships/hyperlink" Target="https://www.ncbi.nlm.nih.gov/books/NBK603712/" TargetMode="External"/><Relationship Id="rId20" Type="http://schemas.openxmlformats.org/officeDocument/2006/relationships/hyperlink" Target="https://www.providertrust.com/blog/how-often-should-you-do-an-oig-exclusion-list-check/" TargetMode="External"/><Relationship Id="rId64" Type="http://schemas.openxmlformats.org/officeDocument/2006/relationships/hyperlink" Target="https://medwave.io/2025/01/the-roi-on-outsourced-medical-credentialing/" TargetMode="External"/><Relationship Id="rId63" Type="http://schemas.openxmlformats.org/officeDocument/2006/relationships/hyperlink" Target="https://www.goperla.com/blog/roi-of-automated-credentialing-nursing-homes" TargetMode="External"/><Relationship Id="rId22" Type="http://schemas.openxmlformats.org/officeDocument/2006/relationships/hyperlink" Target="https://www.hca.nm.gov/employee-abuse-registry/" TargetMode="External"/><Relationship Id="rId66" Type="http://schemas.openxmlformats.org/officeDocument/2006/relationships/hyperlink" Target="https://www.directshifts.com/employer-resources/healthcare-provider-credentialing-costs-breakdown-roi-strategies-for-healthcare-employers" TargetMode="External"/><Relationship Id="rId21" Type="http://schemas.openxmlformats.org/officeDocument/2006/relationships/hyperlink" Target="https://streamlineverify.com/compliance/" TargetMode="External"/><Relationship Id="rId65" Type="http://schemas.openxmlformats.org/officeDocument/2006/relationships/hyperlink" Target="https://www.symplr.com/blog/roi-healthcare-compliance-symplr-value" TargetMode="External"/><Relationship Id="rId24" Type="http://schemas.openxmlformats.org/officeDocument/2006/relationships/hyperlink" Target="https://www.dfps.texas.gov/background_checks/faq/faq_abuse_registry.asp" TargetMode="External"/><Relationship Id="rId68" Type="http://schemas.openxmlformats.org/officeDocument/2006/relationships/hyperlink" Target="https://www.certifyos.com/resources/blog/roi-automated-credentialing" TargetMode="External"/><Relationship Id="rId23" Type="http://schemas.openxmlformats.org/officeDocument/2006/relationships/hyperlink" Target="https://www.cdss.ca.gov/inforesources/community-care/caregiver-background-check/background-check-process" TargetMode="External"/><Relationship Id="rId67" Type="http://schemas.openxmlformats.org/officeDocument/2006/relationships/hyperlink" Target="https://www.radiant.healthcare/insights-analysis/credentialing-roi-how-streamlined-processes-save-time-money-and-morale" TargetMode="External"/><Relationship Id="rId60" Type="http://schemas.openxmlformats.org/officeDocument/2006/relationships/hyperlink" Target="https://www.healthstream.com/resources/the-ultimate-guide-to-provider-credentialing-eveything-you-need-to-know" TargetMode="External"/><Relationship Id="rId26" Type="http://schemas.openxmlformats.org/officeDocument/2006/relationships/hyperlink" Target="https://store.jcrinc.com/assets/1/7/POLHC_SamplePages.pdf" TargetMode="External"/><Relationship Id="rId25" Type="http://schemas.openxmlformats.org/officeDocument/2006/relationships/hyperlink" Target="https://www.jointcommission.org/en-us/certification/health-care-staffing" TargetMode="External"/><Relationship Id="rId69" Type="http://schemas.openxmlformats.org/officeDocument/2006/relationships/hyperlink" Target="https://www.artigentech.com/newsletter/roi-in-ai-medical-coding-and-billing/" TargetMode="External"/><Relationship Id="rId28" Type="http://schemas.openxmlformats.org/officeDocument/2006/relationships/hyperlink" Target="https://www.jointcommission.org/en-us/standards" TargetMode="External"/><Relationship Id="rId27" Type="http://schemas.openxmlformats.org/officeDocument/2006/relationships/hyperlink" Target="https://www.nysna.org/position-statement-floating" TargetMode="External"/><Relationship Id="rId29" Type="http://schemas.openxmlformats.org/officeDocument/2006/relationships/hyperlink" Target="https://nurse.org/news/joint-commission-nurse-staffing-goals/" TargetMode="External"/><Relationship Id="rId51" Type="http://schemas.openxmlformats.org/officeDocument/2006/relationships/hyperlink" Target="https://www.researchgate.net/publication/272512560_Hospital_Employment_of_Supplemental_Registered_Nurses_and_Patients'_Satisfaction_With_Care" TargetMode="External"/><Relationship Id="rId50" Type="http://schemas.openxmlformats.org/officeDocument/2006/relationships/hyperlink" Target="https://pmc.ncbi.nlm.nih.gov/articles/PMC11855161/" TargetMode="External"/><Relationship Id="rId53" Type="http://schemas.openxmlformats.org/officeDocument/2006/relationships/hyperlink" Target="https://www.aha.org/guidesreports/2025-03-11-improvement-safety-culture-linked-better-patient-and-staff-outcomes" TargetMode="External"/><Relationship Id="rId52" Type="http://schemas.openxmlformats.org/officeDocument/2006/relationships/hyperlink" Target="https://pmc.ncbi.nlm.nih.gov/articles/PMC4351807/" TargetMode="External"/><Relationship Id="rId11" Type="http://schemas.openxmlformats.org/officeDocument/2006/relationships/hyperlink" Target="https://tollanis.com/blog/4-common-compliance-issues-in-healthcare-credentialing-and-how-to-fix-them" TargetMode="External"/><Relationship Id="rId55" Type="http://schemas.openxmlformats.org/officeDocument/2006/relationships/hyperlink" Target="https://www.bluestonesvc.com/blog/best-practices-to-help-your-credentialing-process/" TargetMode="External"/><Relationship Id="rId10" Type="http://schemas.openxmlformats.org/officeDocument/2006/relationships/hyperlink" Target="https://riddlecompliance.com/why-a-compliance-gap-analysis-for-healthcare-holds-the-answer/" TargetMode="External"/><Relationship Id="rId54" Type="http://schemas.openxmlformats.org/officeDocument/2006/relationships/hyperlink" Target="https://www.qualtrics.com/experience-management/customer/hcahps-surveys/" TargetMode="External"/><Relationship Id="rId13" Type="http://schemas.openxmlformats.org/officeDocument/2006/relationships/hyperlink" Target="https://medtrainer.com/blog/continuous-monitoring-is-the-future-of-provider-credentialing/" TargetMode="External"/><Relationship Id="rId57" Type="http://schemas.openxmlformats.org/officeDocument/2006/relationships/hyperlink" Target="https://www.kimedics.com/blog/clinician-credentialing" TargetMode="External"/><Relationship Id="rId12" Type="http://schemas.openxmlformats.org/officeDocument/2006/relationships/hyperlink" Target="https://www.providertrust.com/blog/healthcare-license-monitoring-best-practices/" TargetMode="External"/><Relationship Id="rId56" Type="http://schemas.openxmlformats.org/officeDocument/2006/relationships/hyperlink" Target="http://offers.premierinc.com/-WP-Credentailing.html" TargetMode="External"/><Relationship Id="rId15" Type="http://schemas.openxmlformats.org/officeDocument/2006/relationships/hyperlink" Target="https://verisys.com/blog/reasons-to-invest-in-healthcare-continuous-monitoring/" TargetMode="External"/><Relationship Id="rId59" Type="http://schemas.openxmlformats.org/officeDocument/2006/relationships/hyperlink" Target="https://www.simbo.ai/blog/understanding-the-key-frameworks-for-developing-effective-healthcare-compliance-programs-in-today-s-regulatory-environment-3810416/" TargetMode="External"/><Relationship Id="rId14" Type="http://schemas.openxmlformats.org/officeDocument/2006/relationships/hyperlink" Target="https://www.accurate.com/blog/why-continuous-monitoring-is-the-right-approach-in-healthcare/" TargetMode="External"/><Relationship Id="rId58" Type="http://schemas.openxmlformats.org/officeDocument/2006/relationships/hyperlink" Target="https://verifiable.com/blog/tips-for-an-improved-medical-credentialing-process" TargetMode="External"/><Relationship Id="rId17" Type="http://schemas.openxmlformats.org/officeDocument/2006/relationships/hyperlink" Target="https://oig.hhs.gov/exclusions/background.asp" TargetMode="External"/><Relationship Id="rId16" Type="http://schemas.openxmlformats.org/officeDocument/2006/relationships/hyperlink" Target="https://www.providertrust.com/blog/oig-sam-state-medicaid-exclusion-lists-differences/" TargetMode="External"/><Relationship Id="rId19" Type="http://schemas.openxmlformats.org/officeDocument/2006/relationships/hyperlink" Target="https://iprospectcheck.com/sam-background-check/" TargetMode="External"/><Relationship Id="rId18" Type="http://schemas.openxmlformats.org/officeDocument/2006/relationships/hyperlink" Target="https://www.ntracts.com/blog/oig-and-other-databases-exclusion-monitoring-in-healthcare-a-compliance-contracting-best-practices-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