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Most Qualified Candidates Are Already on Your Unit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keyword:</w:t>
      </w:r>
      <w:r w:rsidDel="00000000" w:rsidR="00000000" w:rsidRPr="00000000">
        <w:rPr>
          <w:rFonts w:ascii="Google Sans" w:cs="Google Sans" w:eastAsia="Google Sans" w:hAnsi="Google Sans"/>
          <w:color w:val="1f1f1f"/>
          <w:rtl w:val="0"/>
        </w:rPr>
        <w:t xml:space="preserve"> permanent healthcare staffing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Secondary keyword:</w:t>
      </w:r>
      <w:r w:rsidDel="00000000" w:rsidR="00000000" w:rsidRPr="00000000">
        <w:rPr>
          <w:rFonts w:ascii="Google Sans" w:cs="Google Sans" w:eastAsia="Google Sans" w:hAnsi="Google Sans"/>
          <w:color w:val="1f1f1f"/>
          <w:rtl w:val="0"/>
        </w:rPr>
        <w:t xml:space="preserve"> agency conversion fee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been running the most thorough hiring process in hospital staffing, and nobody told you it was an interview. A travel nurse on your unit has been there for multiple 13-week stints. You have watched them work through full patient loads, rapid responses, short-staffed shifts, and the specific way your charge nurse delegates to them. Every shift was a data point. Every patient outcome was a reference check. Every time a charge nurse adjusted an assignment around a learning curve instead of requesting a replacement, that was an evaluation. The twelve-week contract was not an extension of a staffing arrangement. It is the most thorough interview your facility will ever run — and nobody told you it was one.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already know you want them to stay on permanently, but there is a minefield here. First of all, you actually don't know whether they want to stay - maybe they just love to travel. There are signs they could settle under the right conditions but there are reasons why clinicians continue to travel </w:t>
      </w:r>
      <w:hyperlink r:id="rId6">
        <w:r w:rsidDel="00000000" w:rsidR="00000000" w:rsidRPr="00000000">
          <w:rPr>
            <w:rFonts w:ascii="Google Sans" w:cs="Google Sans" w:eastAsia="Google Sans" w:hAnsi="Google Sans"/>
            <w:color w:val="0b57d0"/>
            <w:u w:val="single"/>
            <w:rtl w:val="0"/>
          </w:rPr>
          <w:t xml:space="preserve">even when they prefer not to</w:t>
        </w:r>
      </w:hyperlink>
      <w:r w:rsidDel="00000000" w:rsidR="00000000" w:rsidRPr="00000000">
        <w:rPr>
          <w:rFonts w:ascii="Google Sans" w:cs="Google Sans" w:eastAsia="Google Sans" w:hAnsi="Google Sans"/>
          <w:color w:val="1f1f1f"/>
          <w:rtl w:val="0"/>
        </w:rPr>
        <w:t xml:space="preserve">. Then there is the agency. They have bailed you out numerous times when short-staffed during a spike in demand, you would not want to step on their toes. Not to mention there is a significant conversion fee. You could reengage a recruitment agency to find you a permanent placement, even though they tend to prioritise speed over things like cultural concordance. However, we believe the solution to this conundrum is right under your nose.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Permanent Healthcare Staffing: Your Best Candidates Are Already on Your Unit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13-week contract is not just a staffing arrangement. It is the most thorough interview a facility can run, one where the candidate earns market rate, the unit gets full production, and the fit is measured under actual conditions. If the traveler is already on your unit and the contract is ending, you already know whether you want them to stay. The question is not whether they are qualified. The question is whether you are still looking for them in the wrong place.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Only Free Interview in Healthcare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facility that runs multiple 13-week contracts with the same traveler is not simply extending a staffing arrangement. It is accumulating evidence. Each contract delivers full market-rate production while simultaneously generating feedback from charge nurses, preceptors, and unit coordinators who worked alongside the clinician under real conditions. The facility is not guessing whether this person can perform, it has watched them perform dozens of times across hundreds of patient interactions. This is not a reference check. It is a running evaluation that no interview process can replicate, because every other assessment method asks evaluators to imagine competence rather than observe it. The facility pays market rate for this traveler regardless of whether conversion happens, which means the only question at contract end is whether the accumulated track record is strong enough to justify one more step. When the answer is yes based on direct observation rather than self-reported credentials, the decision has a foundation that no resume can provide. The </w:t>
      </w:r>
      <w:hyperlink r:id="rId7">
        <w:r w:rsidDel="00000000" w:rsidR="00000000" w:rsidRPr="00000000">
          <w:rPr>
            <w:rFonts w:ascii="Google Sans" w:cs="Google Sans" w:eastAsia="Google Sans" w:hAnsi="Google Sans"/>
            <w:color w:val="0b57d0"/>
            <w:u w:val="single"/>
            <w:rtl w:val="0"/>
          </w:rPr>
          <w:t xml:space="preserve">average cost of replacing a single registered nurse</w:t>
        </w:r>
      </w:hyperlink>
      <w:r w:rsidDel="00000000" w:rsidR="00000000" w:rsidRPr="00000000">
        <w:rPr>
          <w:rFonts w:ascii="Google Sans" w:cs="Google Sans" w:eastAsia="Google Sans" w:hAnsi="Google Sans"/>
          <w:color w:val="1f1f1f"/>
          <w:rtl w:val="0"/>
        </w:rPr>
        <w:t xml:space="preserve"> is $61,110, a number that puts the entire 13-week evaluation in perspective: you have already completed the most expensive part of hiring, at full market rate, with zero commitment required.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Moreover, the traveler has been conducting a parallel evaluation of the facility across every contract. The decision to return to the same assignment is not arbitrary, it reflects a calculated assessment of whether this environment represents what the industry calls a safety facility. Travelers track unit culture, leadership stability, resource adequacy, and whether the permanent staff treat them as team members or temporary burdens. Every time they asked where the code cart lived, they were sizing you up. Every shift swap they noticed — that was their silent evaluation of whether this place was worth coming back to. When a traveler extends a contract or requests a return assignment to the same facility, that decision communicates something the facility has not been conditioned to hear: this clinician has decided this institution is worth coming back to. That judgment runs in both directions simultaneously. By the time the final contract week arrives, both sides have already made their assessment. The conversion conversation is not a leap of faith. It is the formal acknowledgment of a decision that was made weeks or months earlier.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13 Knowledge Cannot Be Transferred on Day 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traveler who reaches week 13 in a facility carries something no orientation module can transfer and no credential can certify. They know where the code cart actually lives. They know which physician prefers handwritten notes to electronic orders. They know which charge nurse handles difficult family conversations with a specific tone that defuses escalation. They know the informal protocols that keep the unit running smoothly, the ones never written in any policy binder but understood by everyone who has been there long enough. This knowledge is not documented because it does not exist in document form. It exists only in the accumulated memory of people who have worked in that space repeatedly. The traveler has that memory now. No new hire, regardless of experience level, brings it through the door on day 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knowledge cannot be documented or transferred on paper. The cost of replacing it is measurable, and it appears in the unit budget every time a contract ends and a new traveler begins. Orientation hours consume the schedules of experienced nurses who could otherwise be treating patients. Productivity dips during the first two to four weeks as the new arrival learns workflows that the departing traveler had mastered by week two. Charge nurses absorb the burden of answering first-week questions that a twelve-week traveler would not need to ask, redirecting leadership attention away from unit operations and toward basic onboarding. These costs are real. They are predictable. They are recurring. And they are invisible in the agency pricing model because they never flow through the agency's books, they are absorbed entirely by the facility's permanent staff.</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Relationships Don't Transfer on Paper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costs of perpetual turnover are concrete and they return every 13 weeks regardless of what the facility does. Experienced nurses carry the precepting burden for every new arrival, operating in a coaching posture that slows their own workflows while they answer questions, correct mistakes, and provide the contextual guidance that no orientation packet contains. Error rates spike in the first three to four weeks of a new contract as the traveler ramps up. Consequently, your experienced nurses spend those weeks correcting mistakes instead of treating patients. Worse, this pattern repeats every 13 weeks — making the burnout feel inevitable rather than occasional. Credentialing and EMR system training must be repeated for every new clinician who arrives, consuming eight to twenty hours of unbillable administrative work that the facility absorbs silently. These costs do not vanish when a traveler converts. They vanish only when the traveler stays, because the next arrival starts the cycle again from zero.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makes a unit function goes beyond operational knowledge. It lives in the informal relationships built through presence, the night nurse who knows exactly which charge nurse to call when a pressor needs titrating, the seasoned aide who has a way of calming patients that no protocol describes, the physician who has worked with the same small group of nurses long enough to trust their instincts without verification. These relationships are not transferable through any orientation process. They require accumulated presence. When a traveler who has completed multiple contracts leaves, those relationships leave with them, and the unit begins the slow work of rebuilding social capital with whoever comes next. Meanwhile, the permanent staff who have been working alongside that traveler have been forming their own conclusions, not about the next contract, but about whether this person belongs on the unit permanently.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 Already Made the Hire. You Just Haven't Processed It Yet.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senior nurse who precepted the traveler, the charge nurse who adjusted patient assignments around their learning curve, and the unit coordinator who flagged them as reliable have already completed the most honest reference check the facility will ever receive. Their evaluation was not based on a one-hour conversation or a self-reported resume. It was based on observed behavior under actual clinical conditions, the only assessment that matters when patient outcomes are at stake. When the traveler made a mistake, they saw it. When the traveler handled a crisis with composure, they saw that too. Their assessment is the only reference that cannot be rehearsed or optimized for performance. The traveler who earned the trust of the night shift, the ICU, and the charge nurse rotation has been evaluated by an entire unit, not a single hiring manager. That depth of evaluation is not available from any recruiting platform, job fair, or agency presentation. It has already happened. The only question is whether the facility recognizes it as the asset it 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contract approaches its end, the permanent staff who worked alongside the traveler across multiple 13-week assignments already know whether they want that person to stay on the unit. Their endorsement, or hesitation, reflects cumulative observation over dozens of weeks, not a single interaction designed to impress. The traveler who earned the trust of the night shift, the ICU, and the charge nurse rotation has been evaluated by an entire unit, not a single hiring manager. That depth of evaluation is not available from any recruiting platform, job fair, or agency presentation. It has already happened. The only question is whether the facility recognizes it as the asset it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13-week interview costs nothing extra, and it tells you everything."</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Is a Toll, Not a Service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agency conversion fee is not a service charge. It is proof the agency profits from your hesitation. Every dollar you pay at conversion was already earned during the contract period through the markup on hours worked. The fee exists not to cover a service — it exists to make you forget you have already completed the most expensive part of hiring. The agency system was designed to prevent exactly what your facility is trying to achieve, and it does that work by making the decision feel expensive when the math says otherwise.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Was Engineered to Make You Forget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Staffing agency conversion fees exist primarily as a pricing signal. The fee is calibrated not to reflect any service the agency provides at the point of conversion, but to make the facility feel as though conversion is the expensive option, expensive enough to reconsider and explore extensions instead. The behavioral objective is hesitation, not obstruction. The fee does not block conversion outright. It creates a moment of doubt powerful enough to shift decisions that should be straightforward.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Facilities that attempt conversion are not the agency's ideal outcome. The agency's preferred customer is one who extends the contract repeatedly, paying the </w:t>
      </w:r>
      <w:hyperlink r:id="rId8">
        <w:r w:rsidDel="00000000" w:rsidR="00000000" w:rsidRPr="00000000">
          <w:rPr>
            <w:rFonts w:ascii="Google Sans" w:cs="Google Sans" w:eastAsia="Google Sans" w:hAnsi="Google Sans"/>
            <w:color w:val="0b57d0"/>
            <w:u w:val="single"/>
            <w:rtl w:val="0"/>
          </w:rPr>
          <w:t xml:space="preserve">30 to 40 percent markup</w:t>
        </w:r>
      </w:hyperlink>
      <w:r w:rsidDel="00000000" w:rsidR="00000000" w:rsidRPr="00000000">
        <w:rPr>
          <w:rFonts w:ascii="Google Sans" w:cs="Google Sans" w:eastAsia="Google Sans" w:hAnsi="Google Sans"/>
          <w:color w:val="1f1f1f"/>
          <w:rtl w:val="0"/>
        </w:rPr>
        <w:t xml:space="preserve"> above base pay on every billable hour for as long as possible. When a facility converts a nurse permanently, the agency loses that revenue stream permanently. The agency has already recovered its sourcing and credentialing costs during the initial contract period, those expenses were covered by the markup collected during the first thirteen weeks. A converted nurse represents not a successful placement but a revenue interruption. The fee is the mechanism designed to prevent that interruption, and it was not invented to solve a problem for the facility.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Extensions are the agency's preferred revenue stream, not a fallback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facility extends a contract rather than converting, the agency continues collecting the markup on every hour the traveler works. For a nurse earning a base rate of forty dollars per hour, an agency with a 35 percent markup bills the facility approximately fifty-four dollars per hour. Over a standard 36-hour work week, that margin generates over five hundred dollars in agency revenue per week, revenue that continues as long as the extension holds. An extended contract is not a consolation prize for the agency. It is the product working as designed.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converted nurse ends that revenue stream permanently. The agency must then invest in replacing that billable hour with a new clinician in a new facility, incurring the marketing, recruiter, and credentialing costs that justified the initial markup. The financial incentive structure inside every staffing agency prioritizes retention within the agency over placement into permanent roles. This is not hidden in the fine print of the contract. It is the business model. The agency system is built to keep travelers billable rather than to deliver permanent workforce solutions to healthcare facilities.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was designed to make conversion feel like the wrong move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conversion fee is not compensation for a service. It is psychological architecture designed to make the facility feel as though the expensive choice is obvious, even when the math says otherwise. The fee is calibrated to produce hesitation, not to reflect any actual cost incurred at the moment of conversion. Every dollar the agency collects at conversion was already earned during the contract period through the markup on hours worked. The agency has already recovered its sourcing and credentialing costs during the initial contract period; those expenses were covered by the markup collected during the first thirteen weeks. A converted nurse represents not a successful placement but a revenue interruption. The fee itself performs no function other than to redirect the facility's attention away from the accumulated value of the traveler and toward a single visible number.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Facilities that attempt negotiation typically receive partial relief in exchange for volume commitments or contract extensions that benefit the agency more than the facility. The agency reduces the fee percentage in exchange for a guarantee of future contract renewals or a commitment to fill a certain number of hours through the agency. The fee does not disappear. It becomes a lever the agency uses to lock the facility into an extended relationship rather than a permanent one.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was designed to be seen, not paid."</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Costs of Agency Staffing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is the smallest number on the facility's spreadsheet, but it is also the most visible, which is precisely why it distracts from everything else. The actual cost of the agency system is distributed across permanent staff burnout, error rates, administrative overhead, and institutional knowledge loss. None of it shows up as a line item. All of it shows up as operational drag.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Precepting is not a line item. It is a tax your permanent staff pay.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time a new traveler arrives, experienced permanent nurses spend the first two to four weeks in a coaching posture. Their workflows slow as they provide repeated explanations, catch-and-correct guidance, and the contextual orientation that no official training program can deliver. They answer questions about where supplies are stored, how the charge nurse prefers shift handoffs, which physician rounds at what time and in what style. This work they perform without additional compensation, at a pace that is measurably slower than their own baseline. The traveler earns market rate during this period. The preceptor receives no differential for the additional cognitive and emotional load of onboarding someone who will leave in three months, because the cost of that coaching is not priced into the agency contract. It is absorbed silently by the unit as slower workflows, repeated corrections, and the unmeasured hours of cultural integration that no invoice ever captures.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gap between the traveler's bill rate and the permanent nurse's salary does not represent savings when the facility chooses not to convert. That gap is redirected to cover the orientation burden, the slower workflows, the error corrections, the extra shift coverage when a new arrival cannot yet carry a full patient load. The facility is paying for this cost whether it converts or not. The agency system prices this tax as zero because the facility absorbs it entirely. It does not appear on any invoice from the agency. It appears instead as exhaustion, turnover, and quiet resentment among the permanent staff who carry it quarter after quarter.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Week-one errors are not individual failures. They are a systemic cost.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Medication errors, charting mistakes, and miscommunication during rapid response events all spike in the first three to four weeks of a new contract. Research on traveler integration shows that full productive efficiency does not return until </w:t>
      </w:r>
      <w:hyperlink r:id="rId9">
        <w:r w:rsidDel="00000000" w:rsidR="00000000" w:rsidRPr="00000000">
          <w:rPr>
            <w:rFonts w:ascii="Google Sans" w:cs="Google Sans" w:eastAsia="Google Sans" w:hAnsi="Google Sans"/>
            <w:color w:val="0b57d0"/>
            <w:u w:val="single"/>
            <w:rtl w:val="0"/>
          </w:rPr>
          <w:t xml:space="preserve">week eight to twelve</w:t>
        </w:r>
      </w:hyperlink>
      <w:r w:rsidDel="00000000" w:rsidR="00000000" w:rsidRPr="00000000">
        <w:rPr>
          <w:rFonts w:ascii="Google Sans" w:cs="Google Sans" w:eastAsia="Google Sans" w:hAnsi="Google Sans"/>
          <w:color w:val="1f1f1f"/>
          <w:rtl w:val="0"/>
        </w:rPr>
        <w:t xml:space="preserve"> of a new assignment, weeks during which the traveler is already billing at the full market rate. This is not a reflection of the traveler's competence. It is a reflection of the fact that clinical practice in any facility requires localized knowledge that cannot be transported from one assignment to the next.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permanent staff absorb the cost of this ramp-up period. They correct the charting errors that a more experienced unit member would not make. They cover the gaps when a new arrival moves too slowly through a rapid response. They compensate for the slower pace while the traveler builds the pattern recognition that allows experienced nurses to function efficiently. When this pattern repeats every 13 weeks as a new traveler arrives and an old one departs, the cumulative toll on permanent staff is measurable in exhaustion, burnout, and ultimately in the decision to leave the profession entirely. The error spike is not an individual failure. It is a structural cost of a system that requires perpetual onboarding.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Pay This Tax Every 13 Weeks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new traveler requires credentialing verification, EMR system training, facility compliance orientation, and policy acknowledgment before they can practice independently. This administrative work consumes eight to twenty hours of unbillable time absorbed by the facility's permanent staff, coordinators who gather documents, nurses who run through facility-specific protocols, IT staff who provision system access. This cost does not appear in the agency's pricing because it never flows through the agency's books. The agency collects its markup on every hour the traveler works while the facility handles the overhead that makes those hours possible.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traveler leaves, institutional knowledge walks out with them. Which physician prefers handwritten admission notes. Which charge nurse handles family meetings with a specific approach that consistently de-escalates tension. Where the code cart actually lives when the labeled location is occupied. This knowledge accumulated over twelve weeks and it does not transfer to the next arrival. The facility is perpetually rebuilding from zero, paying the credentialing cost, absorbing the error spike, training the permanent staff to onboard someone who will leave, and the agency system treats that rebuild as someone else's problem. It is the facility's problem. It is also the facility's cost.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 is the smallest number on your spreadsheet, and that's exactly why it's the distraction."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Conversion: The Direct Bridge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relationship between the nurse and the facility enables a direct hire, bypassing the conversion fee entirely. Removing the agency as intermediary removes the mechanism the fee was designed to create. But the bridge only holds if the facility addresses what keeps nurses in the traveler system: the career risk that makes the agency model feel safer than permanent employment. </w:t>
      </w:r>
      <w:hyperlink r:id="rId10">
        <w:r w:rsidDel="00000000" w:rsidR="00000000" w:rsidRPr="00000000">
          <w:rPr>
            <w:rFonts w:ascii="Google Sans" w:cs="Google Sans" w:eastAsia="Google Sans" w:hAnsi="Google Sans"/>
            <w:color w:val="0b57d0"/>
            <w:u w:val="single"/>
            <w:rtl w:val="0"/>
          </w:rPr>
          <w:t xml:space="preserve">That program is not a recruitment agency</w:t>
        </w:r>
      </w:hyperlink>
      <w:r w:rsidDel="00000000" w:rsidR="00000000" w:rsidRPr="00000000">
        <w:rPr>
          <w:rFonts w:ascii="Google Sans" w:cs="Google Sans" w:eastAsia="Google Sans" w:hAnsi="Google Sans"/>
          <w:color w:val="1f1f1f"/>
          <w:rtl w:val="0"/>
        </w:rPr>
        <w:t xml:space="preserve">. It is infrastructure.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bridge exists between the clinician and the facility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relationship is managed directly between the nurse and the facility, without the agency as intermediary, the conversion fee ceases to function as a structural barrier. The fee was designed to prevent exactly this connection, to keep the facility dependent on the agency's pipeline and the nurse dependent on the agency's billing structure. Removing the intermediary removes the mechanism. The conversation between the facility and the clinician can then focus on what actually matters: whether this assignment should become a permanent role.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conversation shifts from whether the facility should pay a toll to what the nurse's actual career preference is. This is a fundamentally different dialogue. It begins with the clinician's goals, compensation expectations, and long-term fit rather than with the agency's pricing structure. The fee had been redirecting the conversation away from the clinician's preferences and toward the facility's budget anxiety. Without that redirection, the facility and the clinician can have an honest discussion about whether the permanent healthcare staffing model works for both of them.</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career risk is what makes the bridge work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Nurses remain in the traveler system because it feels safer than exiting. The system delivers higher pay through </w:t>
      </w:r>
      <w:hyperlink r:id="rId11">
        <w:r w:rsidDel="00000000" w:rsidR="00000000" w:rsidRPr="00000000">
          <w:rPr>
            <w:rFonts w:ascii="Google Sans" w:cs="Google Sans" w:eastAsia="Google Sans" w:hAnsi="Google Sans"/>
            <w:color w:val="0b57d0"/>
            <w:u w:val="single"/>
            <w:rtl w:val="0"/>
          </w:rPr>
          <w:t xml:space="preserve">tax-free stipends governed by the 12-month rule</w:t>
        </w:r>
      </w:hyperlink>
      <w:r w:rsidDel="00000000" w:rsidR="00000000" w:rsidRPr="00000000">
        <w:rPr>
          <w:rFonts w:ascii="Google Sans" w:cs="Google Sans" w:eastAsia="Google Sans" w:hAnsi="Google Sans"/>
          <w:color w:val="1f1f1f"/>
          <w:rtl w:val="0"/>
        </w:rPr>
        <w:t xml:space="preserve">, geographic flexibility that allows clinicians to choose assignments based on lifestyle rather than institutional loyalty, and an exit mechanism if a unit culture turns hostile or unsafe. These features are not incidental. They are the product. The perception of safety is structural: agency nurses build no single client dependency, carry no obligation to any facility, and can exit any assignment without consequence. That independence is precisely what makes staying in the traveler system feel rational, even when permanent employment would be financially better over time. A direct conversion that addresses only the compensation gap will not displace the agency system if the nurse still perceives leaving the traveler track as surrendering control.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bridge works only when crossing it feels less risky than staying on the traveler track. The program must address the compensation gap through competitive salary and benefits packaging. It must address career stability by offering the kind of schedule predictability and professional development that the traveler system cannot provide. It must address the benefits deficit, the retirement contributions, health insurance value, and paid leave that agency contracts typically exclude. Financial equivalence with the traveler's take-home pay is not sufficient. The facility must offer something structurally better, not just financially comparable.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replacement is a program, not a transaction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programs that build permanent pipelines operate on a fundamentally different model than recruitment agencies. An agency rents a clinician to a facility for a billable hour and has a financial incentive to extend that rental indefinitely. A workforce program invests in the relationship between the facility and the clinician, with the goal of converting the traveler into a permanent member whose long-term productivity benefits the facility rather than generating ongoing markup revenue for the intermediary.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stops paying to onboard someone new every quarter and starts investing in a relationship that compounds over time. The converted nurse has already learned the unit's workflows, built the informal relationships that make a unit function, and demonstrated fit under real clinical conditions. The credentialing cost was paid during the contract period. The error spike occurred before the conversion decision was made. The program, not the transaction, is what makes permanent healthcare staffing economically coherent.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the spreadsheet recalculates, the decision changes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number that should drive the conversion decision is not the conversion fee. It is nurse retention through permanent placement — the $61,110 is the </w:t>
      </w:r>
      <w:hyperlink r:id="rId12">
        <w:r w:rsidDel="00000000" w:rsidR="00000000" w:rsidRPr="00000000">
          <w:rPr>
            <w:rFonts w:ascii="Google Sans" w:cs="Google Sans" w:eastAsia="Google Sans" w:hAnsi="Google Sans"/>
            <w:color w:val="0b57d0"/>
            <w:u w:val="single"/>
            <w:rtl w:val="0"/>
          </w:rPr>
          <w:t xml:space="preserve">average cost of replacing a single registered nurse</w:t>
        </w:r>
      </w:hyperlink>
      <w:r w:rsidDel="00000000" w:rsidR="00000000" w:rsidRPr="00000000">
        <w:rPr>
          <w:rFonts w:ascii="Google Sans" w:cs="Google Sans" w:eastAsia="Google Sans" w:hAnsi="Google Sans"/>
          <w:color w:val="1f1f1f"/>
          <w:rtl w:val="0"/>
        </w:rPr>
        <w:t xml:space="preserve"> in 2025, a figure that dwarfs what agencies typically quote because they never show it. The agency does not present this number because the fee is the instrument designed to make you hesitate at exactly the moment you should act. When the spreadsheet includes the full cost of perpetual turnover — orientation hours, error spikes, credentialing tax, institutional knowledge loss that recurs every 13 weeks — conversion stops looking like the expensive option and starts looking like the only rational decision remaining. The fee was designed to keep your eyes on the wrong number. The moment the spreadsheet recalculates, the decision changes.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the spreadsheet recalculates, the decision changes."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Frequently Asked Questions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 What if our facility does not have a formal conversion program, can we still do this internally?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Yes. The direct bridge between the nurse and the facility does not require a formal program. It requires the facility to start the conversation before the contract ends. Most facilities already have the relationship with the traveler, they have worked alongside them for twelve weeks, evaluated them across multiple shifts, and received feedback from the permanent staff who precepted them. The relationship exists. The facility just has not acted on it until the traveler is already gone.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 What if the agency finds out and pushes back?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agency's leverage depends on the facility's dependence. When the facility has a direct pipeline, whether through a structured program or through disciplined internal relationship management, the agency's ability to control the conversation diminishes significantly. The nurse makes the decision, not the agency. Legal developments in several states, including California and Illinois, have further eroded the enforceability of agency contract clauses that attempt to restrict a nurse's ability to accept a permanent position.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 How do we convince leadership when the conversion fee looks small compared to our budget?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Show them the full spreadsheet. The </w:t>
      </w:r>
      <w:hyperlink r:id="rId13">
        <w:r w:rsidDel="00000000" w:rsidR="00000000" w:rsidRPr="00000000">
          <w:rPr>
            <w:rFonts w:ascii="Google Sans" w:cs="Google Sans" w:eastAsia="Google Sans" w:hAnsi="Google Sans"/>
            <w:color w:val="0b57d0"/>
            <w:u w:val="single"/>
            <w:rtl w:val="0"/>
          </w:rPr>
          <w:t xml:space="preserve">average cost of replacing a single registered nurse</w:t>
        </w:r>
      </w:hyperlink>
      <w:r w:rsidDel="00000000" w:rsidR="00000000" w:rsidRPr="00000000">
        <w:rPr>
          <w:rFonts w:ascii="Google Sans" w:cs="Google Sans" w:eastAsia="Google Sans" w:hAnsi="Google Sans"/>
          <w:color w:val="1f1f1f"/>
          <w:rtl w:val="0"/>
        </w:rPr>
        <w:t xml:space="preserve"> is $61,110, plus the cumulative cost of precepting burden, week-one error rates, credentialing tax, and institutional knowledge loss that recurs every 13 weeks. The conversion fee is the only number leadership is looking at because it is the only number the agency shows them. When the facility calculates the total cost of the agency system rather than accepting the agency's selective presentation, the fee stops looking like a reason to delay and starts looking like a reason to act.</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 Line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best candidates are already on your unit. The 13-week contract is a working interview that costs nothing extra, and when it ends, you already know whether you want them to stay. The agency conversion fee is not a service charge. It is a toll designed to make you hesitate, and the entire system is built to keep you in the markup-and-extend model, not to help you build a permanent workforce. The real cost is not the fee. It is the cumulative burden of perpetual orientation, error correction, and knowledge loss that the agency system treats as free. The moment the spreadsheet recalculates, the decision changes. Your most qualified candidates are already on your unit. </w:t>
      </w:r>
      <w:hyperlink r:id="rId14">
        <w:r w:rsidDel="00000000" w:rsidR="00000000" w:rsidRPr="00000000">
          <w:rPr>
            <w:rFonts w:ascii="Google Sans" w:cs="Google Sans" w:eastAsia="Google Sans" w:hAnsi="Google Sans"/>
            <w:color w:val="0b57d0"/>
            <w:u w:val="single"/>
            <w:rtl w:val="0"/>
          </w:rPr>
          <w:t xml:space="preserve">Stop looking for them in the wrong place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NSI Nursing Solutions, </w:t>
      </w:r>
      <w:r w:rsidDel="00000000" w:rsidR="00000000" w:rsidRPr="00000000">
        <w:rPr>
          <w:rFonts w:ascii="Google Sans" w:cs="Google Sans" w:eastAsia="Google Sans" w:hAnsi="Google Sans"/>
          <w:i w:val="1"/>
          <w:iCs w:val="1"/>
          <w:color w:val="1f1f1f"/>
          <w:rtl w:val="0"/>
        </w:rPr>
        <w:t xml:space="preserve">2026 National Health Care Retention &amp; RN Staffing Report</w:t>
      </w:r>
      <w:r w:rsidDel="00000000" w:rsidR="00000000" w:rsidRPr="00000000">
        <w:rPr>
          <w:rFonts w:ascii="Google Sans" w:cs="Google Sans" w:eastAsia="Google Sans" w:hAnsi="Google Sans"/>
          <w:color w:val="1f1f1f"/>
          <w:rtl w:val="0"/>
        </w:rPr>
        <w:t xml:space="preserve">. https://www.nsinursingsolutions.com/documents/library/nsi_national_health_care_retention_report.pdf</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Resource, </w:t>
      </w:r>
      <w:r w:rsidDel="00000000" w:rsidR="00000000" w:rsidRPr="00000000">
        <w:rPr>
          <w:rFonts w:ascii="Google Sans" w:cs="Google Sans" w:eastAsia="Google Sans" w:hAnsi="Google Sans"/>
          <w:i w:val="1"/>
          <w:iCs w:val="1"/>
          <w:color w:val="1f1f1f"/>
          <w:rtl w:val="0"/>
        </w:rPr>
        <w:t xml:space="preserve">Average Staffing Agency Markup in 2025</w:t>
      </w:r>
      <w:r w:rsidDel="00000000" w:rsidR="00000000" w:rsidRPr="00000000">
        <w:rPr>
          <w:rFonts w:ascii="Google Sans" w:cs="Google Sans" w:eastAsia="Google Sans" w:hAnsi="Google Sans"/>
          <w:color w:val="1f1f1f"/>
          <w:rtl w:val="0"/>
        </w:rPr>
        <w:t xml:space="preserve">. https://www.theresource.com/2025/10/27/average-staffing-agency-markup-in-2025/</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Advantismed, </w:t>
      </w:r>
      <w:r w:rsidDel="00000000" w:rsidR="00000000" w:rsidRPr="00000000">
        <w:rPr>
          <w:rFonts w:ascii="Google Sans" w:cs="Google Sans" w:eastAsia="Google Sans" w:hAnsi="Google Sans"/>
          <w:i w:val="1"/>
          <w:iCs w:val="1"/>
          <w:color w:val="1f1f1f"/>
          <w:rtl w:val="0"/>
        </w:rPr>
        <w:t xml:space="preserve">Travel Nurse Tax and Home Base Requirements</w:t>
      </w:r>
      <w:r w:rsidDel="00000000" w:rsidR="00000000" w:rsidRPr="00000000">
        <w:rPr>
          <w:rFonts w:ascii="Google Sans" w:cs="Google Sans" w:eastAsia="Google Sans" w:hAnsi="Google Sans"/>
          <w:color w:val="1f1f1f"/>
          <w:rtl w:val="0"/>
        </w:rPr>
        <w:t xml:space="preserve">. https://advantismed.com/blog/travel-nurse-tax-home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PMC, </w:t>
      </w:r>
      <w:r w:rsidDel="00000000" w:rsidR="00000000" w:rsidRPr="00000000">
        <w:rPr>
          <w:rFonts w:ascii="Google Sans" w:cs="Google Sans" w:eastAsia="Google Sans" w:hAnsi="Google Sans"/>
          <w:i w:val="1"/>
          <w:iCs w:val="1"/>
          <w:color w:val="1f1f1f"/>
          <w:rtl w:val="0"/>
        </w:rPr>
        <w:t xml:space="preserve">Functional Decline in Older Adults</w:t>
      </w:r>
      <w:r w:rsidDel="00000000" w:rsidR="00000000" w:rsidRPr="00000000">
        <w:rPr>
          <w:rFonts w:ascii="Google Sans" w:cs="Google Sans" w:eastAsia="Google Sans" w:hAnsi="Google Sans"/>
          <w:color w:val="1f1f1f"/>
          <w:rtl w:val="0"/>
        </w:rPr>
        <w:t xml:space="preserve">. https://pmc.ncbi.nlm.nih.gov/articles/PMC12829017/</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ShiftMed, </w:t>
      </w:r>
      <w:r w:rsidDel="00000000" w:rsidR="00000000" w:rsidRPr="00000000">
        <w:rPr>
          <w:rFonts w:ascii="Google Sans" w:cs="Google Sans" w:eastAsia="Google Sans" w:hAnsi="Google Sans"/>
          <w:i w:val="1"/>
          <w:iCs w:val="1"/>
          <w:color w:val="1f1f1f"/>
          <w:rtl w:val="0"/>
        </w:rPr>
        <w:t xml:space="preserve">Open Shift Savings Report</w:t>
      </w:r>
      <w:r w:rsidDel="00000000" w:rsidR="00000000" w:rsidRPr="00000000">
        <w:rPr>
          <w:rFonts w:ascii="Google Sans" w:cs="Google Sans" w:eastAsia="Google Sans" w:hAnsi="Google Sans"/>
          <w:color w:val="1f1f1f"/>
          <w:rtl w:val="0"/>
        </w:rPr>
        <w:t xml:space="preserve">. https://www.shiftmed.com/press-releases/shiftmed-report-open-shift-savings/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dvantismed.com/blog/travel-nurse-tax-home" TargetMode="External"/><Relationship Id="rId10" Type="http://schemas.openxmlformats.org/officeDocument/2006/relationships/hyperlink" Target="https://navahc.com/convert-agency-nurses-to-permanent-staff/" TargetMode="External"/><Relationship Id="rId13" Type="http://schemas.openxmlformats.org/officeDocument/2006/relationships/hyperlink" Target="https://www.nsinursingsolutions.com/documents/library/nsi_national_health_care_retention_report.pdf" TargetMode="External"/><Relationship Id="rId12" Type="http://schemas.openxmlformats.org/officeDocument/2006/relationships/hyperlink" Target="https://www.nsinursingsolutions.com/documents/library/nsi_national_health_care_retention_repo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829017/" TargetMode="External"/><Relationship Id="rId14" Type="http://schemas.openxmlformats.org/officeDocument/2006/relationships/hyperlink" Target="https://navahc.com/convert-agency-nurses-to-permanent-staff/" TargetMode="External"/><Relationship Id="rId5" Type="http://schemas.openxmlformats.org/officeDocument/2006/relationships/styles" Target="styles.xml"/><Relationship Id="rId6" Type="http://schemas.openxmlformats.org/officeDocument/2006/relationships/hyperlink" Target="https://www.shiftmed.com/press-releases/shiftmed-report-open-shift-savings/" TargetMode="External"/><Relationship Id="rId7" Type="http://schemas.openxmlformats.org/officeDocument/2006/relationships/hyperlink" Target="https://www.nsinursingsolutions.com/documents/library/nsi_national_health_care_retention_report.pdf" TargetMode="External"/><Relationship Id="rId8" Type="http://schemas.openxmlformats.org/officeDocument/2006/relationships/hyperlink" Target="https://www.theresource.com/2025/10/27/average-staffing-agency-markup-i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