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Calibri" w:hAnsi="Calibri" w:eastAsia="Microsoft YaHei"/>
          <w:b/>
          <w:color w:val="2E74B5"/>
          <w:sz w:val="22"/>
        </w:rPr>
        <w:t>产品使用手册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F4D78"/>
          <w:sz w:val="56"/>
        </w:rPr>
        <w:t>AIFlowy 智能体配置</w:t>
      </w:r>
    </w:p>
    <w:p>
      <w:pPr>
        <w:spacing w:after="360"/>
        <w:jc w:val="center"/>
      </w:pPr>
      <w:r>
        <w:rPr>
          <w:rFonts w:ascii="Calibri" w:hAnsi="Calibri" w:eastAsia="Microsoft YaHei"/>
          <w:color w:val="5C6570"/>
          <w:sz w:val="28"/>
        </w:rPr>
        <w:t>从基础设定、能力绑定到预览与发布</w:t>
      </w:r>
    </w:p>
    <w:p>
      <w:pPr>
        <w:pStyle w:val="Caption"/>
        <w:keepNext/>
        <w:jc w:val="center"/>
      </w:pPr>
      <w:r>
        <w:rPr>
          <w:rFonts w:ascii="Calibri" w:hAnsi="Calibri" w:eastAsia="Microsoft YaHei"/>
          <w:color w:val="5C6570"/>
          <w:sz w:val="18"/>
        </w:rPr>
        <w:t>图 1  智能体配置页总览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06307"/>
            <wp:docPr id="1" name="Picture 1" descr="图 1  智能体配置页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30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适用范围  </w:t>
            </w:r>
            <w:r>
              <w:rPr>
                <w:rFonts w:ascii="Calibri" w:hAnsi="Calibri" w:eastAsia="Microsoft YaHei"/>
                <w:color w:val="1C232B"/>
                <w:sz w:val="21"/>
              </w:rPr>
              <w:t>本文档基于 2026 年 7 月 28 日可见的 AIFlowy Pro 智能体设置页面编写，适用于管理员或智能体运营人员。界面可能随版本更新发生变化。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页面结构与使用顺序</w:t>
      </w:r>
    </w:p>
    <w:p>
      <w:r>
        <w:t>配置页采用三栏布局：左侧为平台功能导航，中间为当前智能体的设置区，右侧为对话预览区。建议从上到下完成配置，并在发布前使用右侧预览进行验证。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3960"/>
        <w:gridCol w:w="360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区域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主要用途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操作提示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左侧导航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切换智能体、工作流、知识库、模型、插件、MCP 等管理模块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本文聚焦“智能体”设置页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中间设置区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配置变量、提示词、模型、技能、问数、对话与发布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按页面从上到下完成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右侧预览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输入消息，验证回答效果和附件能力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发布前至少完成一轮场景测试</w:t>
            </w:r>
          </w:p>
        </w:tc>
      </w:tr>
    </w:tbl>
    <w:p>
      <w:pPr>
        <w:pStyle w:val="Heading2"/>
      </w:pPr>
      <w:r>
        <w:t>推荐配置流程</w:t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1  定义输入</w:t>
      </w:r>
    </w:p>
    <w:p>
      <w:pPr>
        <w:keepLines/>
      </w:pPr>
      <w:r>
        <w:t>添加业务所需变量，明确标题、类型、输入方式、必填状态、说明、占位符与默认值。</w:t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2  设定角色</w:t>
      </w:r>
    </w:p>
    <w:p>
      <w:pPr>
        <w:keepLines/>
      </w:pPr>
      <w:r>
        <w:t>编写系统提示词，说明智能体身份、任务边界、回答格式及禁止事项。</w:t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3  选择模型</w:t>
      </w:r>
    </w:p>
    <w:p>
      <w:pPr>
        <w:keepLines/>
      </w:pPr>
      <w:r>
        <w:t>选择可用大模型，并结合准确性、创造性、成本和上下文需求调整参数。</w:t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4  绑定能力</w:t>
      </w:r>
    </w:p>
    <w:p>
      <w:pPr>
        <w:keepLines/>
      </w:pPr>
      <w:r>
        <w:t>按业务需要添加工作流、知识库、插件、MCP、Skill、数据源或数据中枢。</w:t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5  配置对话</w:t>
      </w:r>
    </w:p>
    <w:p>
      <w:pPr>
        <w:keepLines/>
      </w:pPr>
      <w:r>
        <w:t>设置问题预设、欢迎语、深度思考、敏感词过滤、历史压缩和附件能力。</w:t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6  预览与发布</w:t>
      </w:r>
    </w:p>
    <w:p>
      <w:pPr>
        <w:keepLines/>
      </w:pPr>
      <w:r>
        <w:t>用真实场景测试回答，再选择用户中心、iframe、SDK 或 API 等交付方式。</w:t>
      </w:r>
    </w:p>
    <w:p>
      <w:r>
        <w:br w:type="page"/>
      </w:r>
    </w:p>
    <w:p>
      <w:pPr>
        <w:pStyle w:val="Heading1"/>
      </w:pPr>
      <w:r>
        <w:t>2. 配置变量与系统提示词</w:t>
      </w:r>
    </w:p>
    <w:p>
      <w:pPr>
        <w:pStyle w:val="Heading2"/>
      </w:pPr>
      <w:r>
        <w:t>2.1 添加输入变量</w:t>
      </w:r>
    </w:p>
    <w:p>
      <w:r>
        <w:t>变量用于在对话开始前或运行过程中收集结构化信息。当前页面显示“暂无变量”，可通过变量区域右上角的加号打开添加窗口。</w:t>
      </w:r>
    </w:p>
    <w:p>
      <w:pPr>
        <w:pStyle w:val="Caption"/>
        <w:keepNext/>
        <w:jc w:val="center"/>
      </w:pPr>
      <w:r>
        <w:rPr>
          <w:rFonts w:ascii="Calibri" w:hAnsi="Calibri" w:eastAsia="Microsoft YaHei"/>
          <w:color w:val="5C6570"/>
          <w:sz w:val="18"/>
        </w:rPr>
        <w:t>图 2  添加变量窗口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83036"/>
            <wp:docPr id="2" name="Picture 2" descr="图 2  添加变量窗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d-vari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3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1  填写标题</w:t>
      </w:r>
    </w:p>
    <w:p>
      <w:pPr>
        <w:keepLines/>
      </w:pPr>
      <w:r>
        <w:t>使用用户能理解的业务名称，例如“项目名称”“目标受众”或“输出语言”。</w:t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2  选择类型与输入方式</w:t>
      </w:r>
    </w:p>
    <w:p>
      <w:pPr>
        <w:keepLines/>
      </w:pPr>
      <w:r>
        <w:t>根据数据性质选择类型；根据内容长度选择单行、多行或其他可用输入控件。</w:t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3  补充交互信息</w:t>
      </w:r>
    </w:p>
    <w:p>
      <w:pPr>
        <w:keepLines/>
      </w:pPr>
      <w:r>
        <w:t>设置是否必填，并填写描述、占位符与默认值，降低误填概率。</w:t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4  保存</w:t>
      </w:r>
    </w:p>
    <w:p>
      <w:pPr>
        <w:keepLines/>
      </w:pPr>
      <w:r>
        <w:t>确认字段含义后保存。若提示词会引用变量，应保持变量名称稳定。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注意  </w:t>
            </w:r>
            <w:r>
              <w:rPr>
                <w:rFonts w:ascii="Calibri" w:hAnsi="Calibri" w:eastAsia="Microsoft YaHei"/>
                <w:color w:val="1C232B"/>
                <w:sz w:val="21"/>
              </w:rPr>
              <w:t>“保存”会写入当前智能体配置。修改既有变量前，应先确认下游提示词、工作流或接口是否依赖该变量。</w:t>
            </w:r>
          </w:p>
        </w:tc>
      </w:tr>
    </w:tbl>
    <w:p>
      <w:pPr>
        <w:spacing w:after="0"/>
      </w:pPr>
    </w:p>
    <w:p>
      <w:pPr>
        <w:pStyle w:val="Heading2"/>
      </w:pPr>
      <w:r>
        <w:t>2.2 编写系统提示词</w:t>
      </w:r>
    </w:p>
    <w:p>
      <w:r>
        <w:t>系统提示词决定智能体的角色和默认行为。页面提供文本编辑区与“AI 优化”入口。建议至少包含以下四类信息：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2"/>
        </w:rPr>
        <w:t>角色：智能体是谁，面向什么用户。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2"/>
        </w:rPr>
        <w:t>任务：需要完成哪些工作，输出应达到什么标准。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2"/>
        </w:rPr>
        <w:t>边界：哪些内容不能推测，何时应说明信息不足。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2"/>
        </w:rPr>
        <w:t>格式：语言、语气、结构、长度，以及是否需要引用来源。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示例结构  </w:t>
            </w:r>
            <w:r>
              <w:rPr>
                <w:rFonts w:ascii="Calibri" w:hAnsi="Calibri" w:eastAsia="Microsoft YaHei"/>
                <w:color w:val="1C232B"/>
                <w:sz w:val="21"/>
              </w:rPr>
              <w:t>你是【角色】。你的任务是【任务】。回答时遵循【规则】；如果【信息不足条件】，请【处理方式】。输出使用【格式】。</w:t>
            </w:r>
          </w:p>
        </w:tc>
      </w:tr>
    </w:tbl>
    <w:p>
      <w:pPr>
        <w:spacing w:after="0"/>
      </w:pPr>
    </w:p>
    <w:p>
      <w:pPr>
        <w:pStyle w:val="Heading1"/>
      </w:pPr>
      <w:r>
        <w:t>3. 选择模型并调整参数</w:t>
      </w:r>
    </w:p>
    <w:p>
      <w:r>
        <w:t>在“大模型”区域选择平台已配置的模型。当前页面可见模型为 DeepSeek/deepseek-v4-pro，并提供温度、TopP、最大回复长度和携带历史对话轮数等参数。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3000"/>
        <w:gridCol w:w="45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参数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影响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调整建议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温度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控制回答随机性与发散程度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事实问答宜低；创意生成可逐步提高并做对比测试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TopP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限制候选词的概率范围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通常只需重点调整温度或 TopP 之一，避免同时大幅改变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最大回复长度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限制单次回复可生成的内容规模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按场景设置，避免过短截断或过长增加延迟与成本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历史对话轮数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决定模型可携带多少轮上下文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长对话可增加，但应关注上下文成本与无关信息累积</w:t>
            </w:r>
          </w:p>
        </w:tc>
      </w:tr>
    </w:tbl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当前页面值  </w:t>
            </w:r>
            <w:r>
              <w:rPr>
                <w:rFonts w:ascii="Calibri" w:hAnsi="Calibri" w:eastAsia="Microsoft YaHei"/>
                <w:color w:val="1C232B"/>
                <w:sz w:val="21"/>
              </w:rPr>
              <w:t>温度 0.3、TopP 0.9、最大回复长度 20000、携带历史对话轮数 100。这里记录的是截图时的可见值，不代表所有智能体的推荐默认值。</w:t>
            </w:r>
          </w:p>
        </w:tc>
      </w:tr>
    </w:tbl>
    <w:p>
      <w:pPr>
        <w:spacing w:after="0"/>
      </w:pPr>
    </w:p>
    <w:p>
      <w:pPr>
        <w:pStyle w:val="Heading2"/>
      </w:pPr>
      <w:r>
        <w:t>调参方法</w:t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1  建立基准</w:t>
      </w:r>
    </w:p>
    <w:p>
      <w:pPr>
        <w:keepLines/>
      </w:pPr>
      <w:r>
        <w:t>先保留默认值，准备 5-10 条覆盖主要业务的测试问题。</w:t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2  单项调整</w:t>
      </w:r>
    </w:p>
    <w:p>
      <w:pPr>
        <w:keepLines/>
      </w:pPr>
      <w:r>
        <w:t>一次只调整一个参数，并记录回答质量、稳定性、长度和响应时间。</w:t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3  回归验证</w:t>
      </w:r>
    </w:p>
    <w:p>
      <w:pPr>
        <w:keepLines/>
      </w:pPr>
      <w:r>
        <w:t>用相同问题重新测试，确认优化没有破坏其他场景。</w:t>
      </w:r>
    </w:p>
    <w:p>
      <w:pPr>
        <w:pStyle w:val="Heading1"/>
      </w:pPr>
      <w:r>
        <w:t>4. 绑定技能与数据能力</w:t>
      </w:r>
    </w:p>
    <w:p>
      <w:r>
        <w:t>“技能”区域可绑定 Subagent 多智能体协同、工作流、知识库、插件、MCP、Skill、LLM Wiki 与其他能力；“智能问数”区域可绑定数据源或数据中枢。分类右侧数字表示当前已绑定数量，展开后可查看已绑定项。</w:t>
      </w:r>
    </w:p>
    <w:p>
      <w:pPr>
        <w:pStyle w:val="Caption"/>
        <w:keepNext/>
        <w:jc w:val="center"/>
      </w:pPr>
      <w:r>
        <w:rPr>
          <w:rFonts w:ascii="Calibri" w:hAnsi="Calibri" w:eastAsia="Microsoft YaHei"/>
          <w:color w:val="5C6570"/>
          <w:sz w:val="18"/>
        </w:rPr>
        <w:t>图 3  展开 Skill 分类查看已绑定能力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06307"/>
            <wp:docPr id="3" name="Picture 3" descr="图 3  展开 Skill 分类查看已绑定能力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kill-bin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1  确定能力来源</w:t>
      </w:r>
    </w:p>
    <w:p>
      <w:pPr>
        <w:keepLines/>
      </w:pPr>
      <w:r>
        <w:t>知识问答优先考虑知识库；固定业务流程使用工作流；外部系统或工具调用可考虑插件、MCP 或 Skill。</w:t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2  添加并核对数量</w:t>
      </w:r>
    </w:p>
    <w:p>
      <w:pPr>
        <w:keepLines/>
      </w:pPr>
      <w:r>
        <w:t>点击分类右侧加号选择能力，添加后检查分类计数是否更新。</w:t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3  展开检查</w:t>
      </w:r>
    </w:p>
    <w:p>
      <w:pPr>
        <w:keepLines/>
      </w:pPr>
      <w:r>
        <w:t>展开分类，确认名称和描述与目标能力一致；不再需要的能力可从已绑定项移除。</w:t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4  场景测试</w:t>
      </w:r>
    </w:p>
    <w:p>
      <w:pPr>
        <w:keepLines/>
      </w:pPr>
      <w:r>
        <w:t>使用能够触发该能力的明确问题测试，并检查调用结果是否与提示词目标一致。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当前页面状态  </w:t>
            </w:r>
            <w:r>
              <w:rPr>
                <w:rFonts w:ascii="Calibri" w:hAnsi="Calibri" w:eastAsia="Microsoft YaHei"/>
                <w:color w:val="1C232B"/>
                <w:sz w:val="21"/>
              </w:rPr>
              <w:t>截图时 Skill 分类已绑定 1 项“PPT generate”，数据中枢已绑定 1 项；其他分类的可见计数为 0。</w:t>
            </w:r>
          </w:p>
        </w:tc>
      </w:tr>
    </w:tbl>
    <w:p>
      <w:pPr>
        <w:spacing w:after="0"/>
      </w:pPr>
    </w:p>
    <w:p>
      <w:pPr>
        <w:pStyle w:val="Heading2"/>
      </w:pPr>
      <w:r>
        <w:t>能力选择原则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2"/>
        </w:rPr>
        <w:t>只绑定业务需要的能力，减少误调用和维护成本。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2"/>
        </w:rPr>
        <w:t>能力描述和触发词应清晰，避免多个能力承担高度重叠的任务。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2"/>
        </w:rPr>
        <w:t>涉及生产数据或外部写操作时，应单独验证权限、审计和失败处理。</w:t>
      </w:r>
    </w:p>
    <w:p>
      <w:pPr>
        <w:pStyle w:val="Heading1"/>
      </w:pPr>
      <w:r>
        <w:t>5. 配置对话体验</w:t>
      </w:r>
    </w:p>
    <w:p>
      <w:r>
        <w:t>“对话设置”区域集中管理用户进入会话后的体验。可见配置项包括问题预设、欢迎语、深度思考、敏感词过滤、对话历史压缩和附件功能。</w:t>
      </w:r>
    </w:p>
    <w:p>
      <w:pPr>
        <w:pStyle w:val="Caption"/>
        <w:keepNext/>
        <w:jc w:val="center"/>
      </w:pPr>
      <w:r>
        <w:rPr>
          <w:rFonts w:ascii="Calibri" w:hAnsi="Calibri" w:eastAsia="Microsoft YaHei"/>
          <w:color w:val="5C6570"/>
          <w:sz w:val="18"/>
        </w:rPr>
        <w:t>图 4  对话设置与发布入口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06307"/>
            <wp:docPr id="4" name="Picture 4" descr="图 4  对话设置与发布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ialog-publi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30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配置项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使用说明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问题预设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提供可直接点击的示例问题，帮助用户快速理解智能体能力。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欢迎语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说明智能体用途、可处理的问题类型及必要提示。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深度思考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根据模型与场景需要决定是否提供更深入的推理模式。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敏感词过滤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绑定敏感词策略，降低不合规输入或输出风险。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对话历史压缩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长会话时压缩历史信息，以控制上下文规模。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附件功能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允许用户上传文件时，应明确支持的类型、大小与隐私要求。</w:t>
            </w:r>
          </w:p>
        </w:tc>
      </w:tr>
    </w:tbl>
    <w:p>
      <w:pPr>
        <w:pStyle w:val="Heading2"/>
      </w:pPr>
      <w:r>
        <w:t>问题预设编写建议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2"/>
        </w:rPr>
        <w:t>覆盖 3-5 个最常见任务，使用用户会实际输入的自然语言。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2"/>
        </w:rPr>
        <w:t>问题之间应体现不同能力，不要只替换少量关键词。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2"/>
        </w:rPr>
        <w:t>避免预设需要用户尚未提供的敏感或内部信息。</w:t>
      </w:r>
    </w:p>
    <w:p>
      <w:pPr>
        <w:pStyle w:val="Heading1"/>
      </w:pPr>
      <w:r>
        <w:t>6. 使用右侧预览完成验收</w:t>
      </w:r>
    </w:p>
    <w:p>
      <w:r>
        <w:t>右侧“预览”区提供消息输入框和附件入口，可用于在发布前验证当前配置。测试会产生实际对话内容时，应使用脱敏样例。</w:t>
      </w:r>
    </w:p>
    <w:p>
      <w:pPr>
        <w:pStyle w:val="Heading2"/>
      </w:pPr>
      <w:r>
        <w:t>建议验收场景</w:t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1  基础回答</w:t>
      </w:r>
    </w:p>
    <w:p>
      <w:pPr>
        <w:keepLines/>
      </w:pPr>
      <w:r>
        <w:t>验证角色、语气、语言和输出格式是否符合系统提示词。</w:t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2  变量场景</w:t>
      </w:r>
    </w:p>
    <w:p>
      <w:pPr>
        <w:keepLines/>
      </w:pPr>
      <w:r>
        <w:t>分别测试必填项缺失、默认值生效和边界输入。</w:t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3  能力调用</w:t>
      </w:r>
    </w:p>
    <w:p>
      <w:pPr>
        <w:keepLines/>
      </w:pPr>
      <w:r>
        <w:t>触发知识库、工作流、Skill 或数据能力，确认选择正确且结果可用。</w:t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4  多轮对话</w:t>
      </w:r>
    </w:p>
    <w:p>
      <w:pPr>
        <w:keepLines/>
      </w:pPr>
      <w:r>
        <w:t>连续追问，检查上下文是否保留、历史压缩是否影响关键信息。</w:t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5  安全边界</w:t>
      </w:r>
    </w:p>
    <w:p>
      <w:pPr>
        <w:keepLines/>
      </w:pPr>
      <w:r>
        <w:t>使用敏感词、越权请求和信息不足场景，检查拒答或提示是否符合要求。</w:t>
      </w:r>
    </w:p>
    <w:p>
      <w:pPr>
        <w:pStyle w:val="StepHeading"/>
        <w:keepNext/>
      </w:pPr>
      <w:r>
        <w:rPr>
          <w:rFonts w:ascii="Calibri" w:hAnsi="Calibri" w:eastAsia="Microsoft YaHei"/>
          <w:b/>
          <w:color w:val="1F4D78"/>
          <w:sz w:val="24"/>
        </w:rPr>
        <w:t>步骤 6  长输出与附件</w:t>
      </w:r>
    </w:p>
    <w:p>
      <w:pPr>
        <w:keepLines/>
      </w:pPr>
      <w:r>
        <w:t>验证长回复是否截断；启用附件时验证允许的文件类型和处理结果。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发布门槛  </w:t>
            </w:r>
            <w:r>
              <w:rPr>
                <w:rFonts w:ascii="Calibri" w:hAnsi="Calibri" w:eastAsia="Microsoft YaHei"/>
                <w:color w:val="1C232B"/>
                <w:sz w:val="21"/>
              </w:rPr>
              <w:t>主要场景全部通过，且失败场景有明确、可理解的提示；涉及外部系统写操作时，还应确认权限与审计记录。</w:t>
            </w:r>
          </w:p>
        </w:tc>
      </w:tr>
    </w:tbl>
    <w:p>
      <w:pPr>
        <w:spacing w:after="0"/>
      </w:pPr>
    </w:p>
    <w:p>
      <w:pPr>
        <w:pStyle w:val="Heading2"/>
      </w:pPr>
      <w:r>
        <w:t>验收记录建议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2760"/>
        <w:gridCol w:w="3600"/>
        <w:gridCol w:w="120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场景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输入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预期结果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结论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基础回答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请说明你能提供哪些帮助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角色、语气和范围与提示词一致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待验证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能力调用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生成一份季度总结 PPT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正确调用目标 Skill 并返回可用结果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待验证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安全边界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请求未授权的内部信息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拒绝越权请求并给出安全提示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待验证</w:t>
            </w:r>
          </w:p>
        </w:tc>
      </w:tr>
    </w:tbl>
    <w:p>
      <w:pPr>
        <w:pStyle w:val="Heading1"/>
      </w:pPr>
      <w:r>
        <w:t>7. 发布与接入</w:t>
      </w:r>
    </w:p>
    <w:p>
      <w:r>
        <w:t>页面提供四类发布或接入入口：发布到用户中心、iframe 嵌入、SDK 嵌入和 API 接入。选择方式前，应先明确目标用户、集成环境、身份认证和运维责任。</w:t>
      </w:r>
    </w:p>
    <w:p>
      <w:pPr>
        <w:pStyle w:val="Caption"/>
        <w:keepNext/>
        <w:jc w:val="center"/>
      </w:pPr>
      <w:r>
        <w:rPr>
          <w:rFonts w:ascii="Calibri" w:hAnsi="Calibri" w:eastAsia="Microsoft YaHei"/>
          <w:color w:val="5C6570"/>
          <w:sz w:val="18"/>
        </w:rPr>
        <w:t>图 5  发布到用户中心的开关与打开入口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06307"/>
            <wp:docPr id="5" name="Picture 5" descr="图 5  发布到用户中心的开关与打开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ublish-user-cen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30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560"/>
        <w:gridCol w:w="3120"/>
        <w:gridCol w:w="4680"/>
      </w:tblGrid>
      <w:tr>
        <w:trPr>
          <w:tblHeader w:val="true"/>
          <w:cantSplit/>
        </w:trPr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方式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适用场景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实施关注点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用户中心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直接供平台内用户访问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确认发布开关与用户可见范围；发布后可从入口打开验证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iframe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嵌入已有网页或门户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检查允许嵌入的域名、尺寸、自适应和登录态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SDK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应用内深度集成对话能力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按页面生成的接入信息实现初始化、事件与错误处理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API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服务端或自定义客户端调用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C232B"/>
                <w:sz w:val="19"/>
              </w:rPr>
              <w:t>妥善保管凭据，限制权限，避免在前端代码或文档中暴露</w:t>
            </w:r>
          </w:p>
        </w:tc>
      </w:tr>
    </w:tbl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重要  </w:t>
            </w:r>
            <w:r>
              <w:rPr>
                <w:rFonts w:ascii="Calibri" w:hAnsi="Calibri" w:eastAsia="Microsoft YaHei"/>
                <w:color w:val="1C232B"/>
                <w:sz w:val="21"/>
              </w:rPr>
              <w:t>切换“是否发布”会改变用户中心的可用状态。执行前应确认版本已通过验收，并按组织流程完成审批或变更记录。</w:t>
            </w:r>
          </w:p>
        </w:tc>
      </w:tr>
    </w:tbl>
    <w:p>
      <w:pPr>
        <w:spacing w:after="0"/>
      </w:pPr>
    </w:p>
    <w:p>
      <w:pPr>
        <w:pStyle w:val="Heading2"/>
      </w:pPr>
      <w:r>
        <w:t>发布后检查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2"/>
        </w:rPr>
        <w:t>从目标入口打开智能体，确认名称、欢迎语、预设问题和主要能力可用。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2"/>
        </w:rPr>
        <w:t>使用普通用户账号验证权限，避免仅用超级管理员视角验收。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2"/>
        </w:rPr>
        <w:t>检查移动端或嵌入容器中的布局、输入框、附件与长回复显示。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2"/>
        </w:rPr>
        <w:t>记录版本、发布时间、配置负责人和回滚方式。</w:t>
      </w:r>
    </w:p>
    <w:p>
      <w:pPr>
        <w:pStyle w:val="Heading1"/>
      </w:pPr>
      <w:r>
        <w:t>8. 常见问题与维护建议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回答不稳定或偏离角色</w:t>
      </w:r>
    </w:p>
    <w:p>
      <w:r>
        <w:t>降低随机性参数；收紧系统提示词；补充边界和输出示例；用固定测试集回归。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能力没有被调用</w:t>
      </w:r>
    </w:p>
    <w:p>
      <w:r>
        <w:t>确认能力已绑定且计数正确；检查能力描述和触发条件；使用更明确的测试问题。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长对话逐渐跑题</w:t>
      </w:r>
    </w:p>
    <w:p>
      <w:r>
        <w:t>降低携带历史轮数或启用历史压缩；在提示词中声明优先级和关键上下文规则。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回复被截断</w:t>
      </w:r>
    </w:p>
    <w:p>
      <w:r>
        <w:t>检查最大回复长度，并让提示词要求分段或先输出摘要；同时关注模型自身限制。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发布后用户不可见</w:t>
      </w:r>
    </w:p>
    <w:p>
      <w:r>
        <w:t>检查“是否发布”状态、用户权限和访问入口；使用普通用户账号复测。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外部接入失败</w:t>
      </w:r>
    </w:p>
    <w:p>
      <w:r>
        <w:t>核对嵌入方式对应的地址、初始化参数、域名策略和认证；不要把访问凭据写入前端或共享文档。</w:t>
      </w:r>
    </w:p>
    <w:p>
      <w:pPr>
        <w:pStyle w:val="Heading2"/>
      </w:pPr>
      <w:r>
        <w:t>维护节奏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2"/>
        </w:rPr>
        <w:t>模型、提示词或能力变更后，重新执行核心场景回归测试。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2"/>
        </w:rPr>
        <w:t>定期查看对话记录、用户反馈和点赞点踩数据，识别高频失败场景。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2"/>
        </w:rPr>
        <w:t>清理不再使用的变量、能力与接入凭据，保持最小权限。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2"/>
        </w:rPr>
        <w:t>重大变更前保留配置说明和回滚方案，避免直接覆盖稳定版本。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页面地址  </w:t>
            </w:r>
            <w:r>
              <w:rPr>
                <w:rFonts w:ascii="Calibri" w:hAnsi="Calibri" w:eastAsia="Microsoft YaHei"/>
                <w:color w:val="1C232B"/>
                <w:sz w:val="21"/>
              </w:rPr>
              <w:t>http://pro.aiflowy.tech/#/ai/bots/setting/437110544081838080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C657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Microsoft YaHei"/>
        <w:color w:val="5C65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C6570"/>
        <w:sz w:val="18"/>
      </w:rPr>
      <w:t>AIFlowy | 智能体配置使用手册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C23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Microsoft YaHei"/>
      <w:b/>
      <w:bCs/>
      <w:color w:val="5C65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Heading">
    <w:name w:val="Step Heading"/>
    <w:basedOn w:val="Heading3"/>
    <w:pPr>
      <w:spacing w:before="200" w:after="8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AIFlowy 智能体配置使用手册</dc:title>
  <dc:subject>智能体设置、测试与发布操作指南</dc:subject>
  <dc:creator>AIFlowy 产品文档</dc:creator>
  <cp:keywords>AIFlowy, 智能体, 配置, 使用手册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