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before="0" w:beforeAutospacing="0" w:after="0" w:afterAutospacing="0"/>
        <w:jc w:val="center"/>
        <w:rPr>
          <w:rFonts w:hint="default" w:eastAsia="等线"/>
          <w:color w:val="000000"/>
          <w:sz w:val="21"/>
          <w:szCs w:val="21"/>
          <w:lang w:val="en-US" w:eastAsia="zh-CN"/>
        </w:rPr>
      </w:pPr>
      <w:r>
        <w:rPr>
          <w:rFonts w:hint="default"/>
          <w:color w:val="000000"/>
          <w:sz w:val="21"/>
          <w:szCs w:val="21"/>
          <w:lang w:val="en-US" w:eastAsia="zh-CN"/>
        </w:rPr>
        <w:t>“</w:t>
      </w:r>
      <w:r>
        <w:rPr>
          <w:rFonts w:hint="eastAsia"/>
          <w:color w:val="000000"/>
          <w:sz w:val="21"/>
          <w:szCs w:val="21"/>
          <w:lang w:val="en-US" w:eastAsia="zh-CN"/>
        </w:rPr>
        <w:t>商业向善</w:t>
      </w:r>
      <w:r>
        <w:rPr>
          <w:rFonts w:hint="default"/>
          <w:color w:val="000000"/>
          <w:sz w:val="21"/>
          <w:szCs w:val="21"/>
          <w:lang w:val="en-US" w:eastAsia="zh-CN"/>
        </w:rPr>
        <w:t>”</w:t>
      </w:r>
      <w:r>
        <w:rPr>
          <w:rFonts w:hint="eastAsia"/>
          <w:color w:val="000000"/>
          <w:sz w:val="21"/>
          <w:szCs w:val="21"/>
          <w:lang w:val="en-US" w:eastAsia="zh-CN"/>
        </w:rPr>
        <w:t>与</w:t>
      </w:r>
      <w:r>
        <w:rPr>
          <w:rFonts w:hint="eastAsia"/>
          <w:color w:val="000000"/>
          <w:sz w:val="21"/>
          <w:szCs w:val="21"/>
        </w:rPr>
        <w:t>ESG</w:t>
      </w:r>
      <w:r>
        <w:rPr>
          <w:rFonts w:hint="eastAsia"/>
          <w:color w:val="000000"/>
          <w:sz w:val="21"/>
          <w:szCs w:val="21"/>
          <w:lang w:val="en-US" w:eastAsia="zh-CN"/>
        </w:rPr>
        <w:t>简史</w:t>
      </w:r>
    </w:p>
    <w:p>
      <w:pPr>
        <w:pStyle w:val="7"/>
        <w:spacing w:before="0" w:beforeAutospacing="0" w:after="0" w:afterAutospacing="0"/>
        <w:jc w:val="both"/>
        <w:rPr>
          <w:rFonts w:hint="default"/>
          <w:color w:val="000000"/>
          <w:sz w:val="21"/>
          <w:szCs w:val="21"/>
          <w:lang w:val="en-US" w:eastAsia="zh-CN"/>
        </w:rPr>
      </w:pPr>
      <w:r>
        <w:rPr>
          <w:rFonts w:hint="eastAsia"/>
          <w:color w:val="000000"/>
          <w:sz w:val="21"/>
          <w:szCs w:val="21"/>
          <w:lang w:val="en-US" w:eastAsia="zh-CN"/>
        </w:rPr>
        <w:tab/>
      </w:r>
      <w:r>
        <w:rPr>
          <w:rFonts w:hint="eastAsia"/>
          <w:color w:val="000000"/>
          <w:sz w:val="21"/>
          <w:szCs w:val="21"/>
          <w:lang w:val="en-US" w:eastAsia="zh-CN"/>
        </w:rPr>
        <w:t>可以说，ESG体现了一代又一代投资者“商业向善”的理念，他们坚信市场对资源高效配置，同时又认为充分的信息披露和必要的干预有效抑制市场失灵，或许在早些时候，这只是某种来源于潜意识的善意的冲动。</w:t>
      </w:r>
    </w:p>
    <w:p>
      <w:pPr>
        <w:pStyle w:val="7"/>
        <w:spacing w:before="0" w:beforeAutospacing="0" w:after="0" w:afterAutospacing="0"/>
        <w:ind w:firstLine="480"/>
        <w:jc w:val="both"/>
        <w:rPr>
          <w:rFonts w:hint="eastAsia"/>
        </w:rPr>
      </w:pPr>
      <w:r>
        <w:rPr>
          <w:rFonts w:hint="eastAsia"/>
          <w:color w:val="000000"/>
          <w:sz w:val="21"/>
          <w:szCs w:val="21"/>
        </w:rPr>
        <w:t xml:space="preserve">从18世纪开始，资本供应者就一直在努力通过选择性投资来规避违法的公司。在《金钱的使用》（The Use of Money）一书中，约翰·卫斯理（1703—1791），卫理宗创始人，敦促他的信众不要让他们的企业伤害他们的邻居，规避诸如制革工业和化学制品等可能损害工人健康的行业，并避免投资于武器、酒精和烟草等“罪恶”的产品供应商。        </w:t>
      </w:r>
    </w:p>
    <w:p>
      <w:pPr>
        <w:pStyle w:val="7"/>
        <w:spacing w:before="0" w:beforeAutospacing="0" w:after="0" w:afterAutospacing="0"/>
        <w:ind w:firstLine="480"/>
        <w:jc w:val="both"/>
        <w:rPr>
          <w:rFonts w:hint="eastAsia"/>
        </w:rPr>
      </w:pPr>
      <w:r>
        <w:rPr>
          <w:rFonts w:hint="eastAsia"/>
          <w:color w:val="000000"/>
          <w:sz w:val="21"/>
          <w:szCs w:val="21"/>
        </w:rPr>
        <w:t>1972年</w:t>
      </w:r>
      <w:r>
        <w:rPr>
          <w:rFonts w:hint="eastAsia"/>
          <w:color w:val="000000"/>
          <w:sz w:val="21"/>
          <w:szCs w:val="21"/>
          <w:lang w:eastAsia="zh-CN"/>
        </w:rPr>
        <w:t>，</w:t>
      </w:r>
      <w:r>
        <w:rPr>
          <w:rFonts w:hint="eastAsia"/>
          <w:color w:val="000000"/>
          <w:sz w:val="21"/>
          <w:szCs w:val="21"/>
        </w:rPr>
        <w:t>黄功吾（Nick Ut）拍摄的普利策奖获奖照片引起了愤怒</w:t>
      </w:r>
      <w:r>
        <w:rPr>
          <w:rFonts w:hint="eastAsia"/>
          <w:color w:val="000000"/>
          <w:sz w:val="21"/>
          <w:szCs w:val="21"/>
          <w:lang w:eastAsia="zh-CN"/>
        </w:rPr>
        <w:t>，</w:t>
      </w:r>
      <w:r>
        <w:rPr>
          <w:rFonts w:hint="eastAsia"/>
          <w:color w:val="000000"/>
          <w:sz w:val="21"/>
          <w:szCs w:val="21"/>
        </w:rPr>
        <w:t>9岁的越南姑娘潘金淑在极具破坏性的凝固汽油弹的袭击下，赤身裸体地奔跑着逃离村庄</w:t>
      </w:r>
      <w:r>
        <w:rPr>
          <w:rFonts w:hint="eastAsia"/>
          <w:color w:val="000000"/>
          <w:sz w:val="21"/>
          <w:szCs w:val="21"/>
          <w:lang w:eastAsia="zh-CN"/>
        </w:rPr>
        <w:t>。</w:t>
      </w:r>
      <w:r>
        <w:rPr>
          <w:rFonts w:hint="eastAsia"/>
          <w:color w:val="000000"/>
          <w:sz w:val="21"/>
          <w:szCs w:val="21"/>
        </w:rPr>
        <w:t>由此引发了民众对凝固汽油弹制造商陶氏化学公司和其他在越南战争中获利的美国公司的抵制。</w:t>
      </w:r>
    </w:p>
    <w:p>
      <w:pPr>
        <w:pStyle w:val="7"/>
        <w:spacing w:before="0" w:beforeAutospacing="0" w:after="0" w:afterAutospacing="0"/>
        <w:ind w:firstLine="480"/>
        <w:jc w:val="both"/>
        <w:rPr>
          <w:rFonts w:hint="eastAsia"/>
        </w:rPr>
      </w:pPr>
      <w:r>
        <w:rPr>
          <w:rFonts w:hint="eastAsia"/>
          <w:color w:val="000000"/>
          <w:sz w:val="21"/>
          <w:szCs w:val="21"/>
        </w:rPr>
        <w:t>当南非处于广受批评的种族隔离制度的时候，许多所谓的道德信托和良心基金以及数十个州和地方政府，通过了禁止投资南非股票的法律或规则.</w:t>
      </w:r>
    </w:p>
    <w:p>
      <w:pPr>
        <w:pStyle w:val="7"/>
        <w:spacing w:before="0" w:beforeAutospacing="0" w:after="0" w:afterAutospacing="0"/>
        <w:ind w:firstLine="480"/>
        <w:jc w:val="both"/>
        <w:rPr>
          <w:rFonts w:hint="eastAsia"/>
        </w:rPr>
      </w:pPr>
      <w:r>
        <w:rPr>
          <w:rFonts w:hint="eastAsia"/>
          <w:color w:val="000000"/>
          <w:sz w:val="21"/>
          <w:szCs w:val="21"/>
        </w:rPr>
        <w:t>从20世纪90年代中期开始，社会责任投资者的注意力转向了绿色问题。1962年，蕾切尔·卡森（Rachel Carsons）在《纽约时报》的畅销书《寂静的春天》（Silent Springs）中对过度使用农药导致环境退化问题提出了警告，自此这成为婴儿潮一代关注的热点问题.</w:t>
      </w:r>
    </w:p>
    <w:p>
      <w:pPr>
        <w:pStyle w:val="7"/>
        <w:spacing w:before="0" w:beforeAutospacing="0" w:after="0" w:afterAutospacing="0"/>
        <w:ind w:firstLine="480"/>
        <w:jc w:val="both"/>
        <w:rPr>
          <w:rFonts w:hint="eastAsia"/>
        </w:rPr>
      </w:pPr>
      <w:r>
        <w:rPr>
          <w:rFonts w:hint="eastAsia"/>
          <w:color w:val="000000"/>
          <w:sz w:val="21"/>
          <w:szCs w:val="21"/>
        </w:rPr>
        <w:t>1987年，联合国出版了《我们共同的未来》，这是另一个重要的里程碑，在这一年，马克被任命管理世界首只新兴市场基金。这份报告由挪威前首相、联合国世界环境与发展委员会主席格罗·哈莱姆·布伦特兰（Gro Harlem Brundtland）提出，因此也被称为《布伦特兰报告》。报告重点关注多边主义和各国在实现可持续发展方面的相互依存关系。该报告被视为1972年斯德哥尔摩会议精神的复兴，坚定地将环境问题纳入政治议程。</w:t>
      </w:r>
    </w:p>
    <w:p>
      <w:pPr>
        <w:pStyle w:val="7"/>
        <w:spacing w:before="0" w:beforeAutospacing="0" w:after="0" w:afterAutospacing="0"/>
        <w:ind w:firstLine="480"/>
        <w:jc w:val="both"/>
        <w:rPr>
          <w:rFonts w:hint="eastAsia"/>
        </w:rPr>
      </w:pPr>
      <w:r>
        <w:rPr>
          <w:rFonts w:hint="eastAsia"/>
          <w:color w:val="000000"/>
          <w:sz w:val="21"/>
          <w:szCs w:val="21"/>
        </w:rPr>
        <w:t>根据2016年全球可持续投资联盟（Global Sustainable Investment Alliance，GSIA）发布的《全球可持续投资评论》，全球有接近23万亿美元的资产正在践行“可持续”投资理念，这比2014年的上一次统计增加了25%。欧洲以外，所有区域按照ESG原则管理的资产比例都有所增加。</w:t>
      </w:r>
    </w:p>
    <w:p>
      <w:pPr>
        <w:pStyle w:val="7"/>
        <w:spacing w:before="0" w:beforeAutospacing="0" w:after="0" w:afterAutospacing="0"/>
        <w:ind w:firstLine="420"/>
        <w:jc w:val="center"/>
        <w:rPr>
          <w:color w:val="000000"/>
          <w:sz w:val="21"/>
          <w:szCs w:val="21"/>
        </w:rPr>
      </w:pPr>
      <w:r>
        <w:rPr>
          <w:rFonts w:hint="eastAsia"/>
          <w:color w:val="000000"/>
          <w:sz w:val="21"/>
          <w:szCs w:val="21"/>
        </w:rPr>
        <w:t>ESG的价值</w:t>
      </w:r>
    </w:p>
    <w:p>
      <w:pPr>
        <w:pStyle w:val="7"/>
        <w:spacing w:before="0" w:beforeAutospacing="0" w:after="0" w:afterAutospacing="0"/>
        <w:ind w:firstLine="420"/>
        <w:jc w:val="both"/>
        <w:rPr>
          <w:rFonts w:hint="eastAsia" w:eastAsia="等线"/>
          <w:lang w:val="en-US" w:eastAsia="zh-CN"/>
        </w:rPr>
      </w:pPr>
      <w:r>
        <w:rPr>
          <w:rFonts w:hint="eastAsia"/>
          <w:color w:val="000000"/>
          <w:sz w:val="21"/>
          <w:szCs w:val="21"/>
        </w:rPr>
        <w:t>这不仅仅在道德维度发生，长期主义投资者发现，不负责任的企业更可能在长期内被法律和公共关系所束缚，这对追求长期收益的资本（如pension fund）来说是不可接受的。mercer在其发布的《</w:t>
      </w:r>
      <w:r>
        <w:rPr>
          <w:rFonts w:hint="eastAsia"/>
          <w:color w:val="000000"/>
          <w:sz w:val="22"/>
          <w:szCs w:val="22"/>
        </w:rPr>
        <w:t>Mercer</w:t>
      </w:r>
      <w:r>
        <w:rPr>
          <w:rFonts w:hint="eastAsia"/>
          <w:color w:val="000000"/>
          <w:sz w:val="22"/>
          <w:szCs w:val="22"/>
          <w:lang w:val="en-US" w:eastAsia="zh-CN"/>
        </w:rPr>
        <w:t xml:space="preserve"> </w:t>
      </w:r>
      <w:r>
        <w:rPr>
          <w:rFonts w:hint="eastAsia"/>
          <w:color w:val="000000"/>
          <w:sz w:val="22"/>
          <w:szCs w:val="22"/>
        </w:rPr>
        <w:t>CFA Institute</w:t>
      </w:r>
      <w:r>
        <w:rPr>
          <w:rFonts w:hint="eastAsia"/>
          <w:color w:val="000000"/>
          <w:sz w:val="22"/>
          <w:szCs w:val="22"/>
          <w:lang w:val="en-US" w:eastAsia="zh-CN"/>
        </w:rPr>
        <w:t xml:space="preserve"> </w:t>
      </w:r>
      <w:r>
        <w:rPr>
          <w:rFonts w:hint="eastAsia"/>
          <w:color w:val="000000"/>
          <w:sz w:val="22"/>
          <w:szCs w:val="22"/>
        </w:rPr>
        <w:t>Global Pension</w:t>
      </w:r>
      <w:r>
        <w:rPr>
          <w:rFonts w:hint="eastAsia"/>
          <w:color w:val="000000"/>
          <w:sz w:val="22"/>
          <w:szCs w:val="22"/>
          <w:lang w:val="en-US" w:eastAsia="zh-CN"/>
        </w:rPr>
        <w:t xml:space="preserve"> </w:t>
      </w:r>
      <w:r>
        <w:rPr>
          <w:rFonts w:hint="eastAsia"/>
          <w:color w:val="000000"/>
          <w:sz w:val="22"/>
          <w:szCs w:val="22"/>
        </w:rPr>
        <w:t>Index 2023》中将是否符合ESG作为评价一个养老基金是否可持续的标准，报告声明："鉴于气候变化及其他全球对未来投资回报的影响与日俱增，该分项指数亦开发了经济、社会及管治（ESG）因素与各系统所采用的投资政策或策略的相关性的评价"</w:t>
      </w:r>
      <w:r>
        <w:rPr>
          <w:rFonts w:hint="eastAsia"/>
          <w:color w:val="000000"/>
          <w:sz w:val="22"/>
          <w:szCs w:val="22"/>
          <w:lang w:eastAsia="zh-CN"/>
        </w:rPr>
        <w:t>。</w:t>
      </w:r>
    </w:p>
    <w:p>
      <w:pPr>
        <w:pStyle w:val="7"/>
        <w:spacing w:before="0" w:beforeAutospacing="0" w:after="0" w:afterAutospacing="0"/>
        <w:ind w:firstLine="420"/>
        <w:jc w:val="both"/>
        <w:rPr>
          <w:rFonts w:hint="eastAsia"/>
        </w:rPr>
      </w:pPr>
      <w:r>
        <w:rPr>
          <w:rFonts w:hint="eastAsia"/>
          <w:color w:val="000000"/>
          <w:sz w:val="21"/>
          <w:szCs w:val="21"/>
        </w:rPr>
        <w:t>如何一家公司无视ESG原则并似乎不愿停止时，践行ESG投资原则的投资者不太可能投资它，不是因为它做得不对或行为不道德，而是因为它存在各种风险，如因违反法律或不遵守法规而被罚款，容易遭遇商业纠纷以及公司吸引和留住员工及客户的能力下降等。ESG的相关基金认为，它们回避某些做法和品质，不是因为它们本身不负责任、不道德或不讲伦理，而是因为有证据表明，实行或表露出这些做法和品质的公司往往在资本市场表现不佳。（马克·墨比尔斯等）</w:t>
      </w:r>
    </w:p>
    <w:p>
      <w:pPr>
        <w:pStyle w:val="7"/>
        <w:spacing w:before="0" w:beforeAutospacing="0" w:after="0" w:afterAutospacing="0"/>
        <w:ind w:firstLine="420"/>
        <w:jc w:val="both"/>
        <w:rPr>
          <w:rFonts w:hint="eastAsia"/>
        </w:rPr>
      </w:pPr>
      <w:r>
        <w:rPr>
          <w:rFonts w:hint="eastAsia"/>
          <w:color w:val="000000"/>
          <w:sz w:val="21"/>
          <w:szCs w:val="21"/>
        </w:rPr>
        <w:t>德意志资产与财富管理公司（Deutsche Asset &amp; Wealth Management Investment）于2015年委托开展了一项研究,研究发现，企业财务绩效与ESG的三个维度都呈正相关。最紧密的联系在公司治理方面：10%的实证研究发现企业财务绩效与公司治理之间呈负相关，但62%的研究发现了显著的正相关关系。牛津大学史密斯企业与环境学院（Smith School of Enterprise and the Environment）和可持续投资基金英国九章资产管理公司（Arabesque Asset Management）共同开展的另一项研究也得到了类似的结论。大约90%的研究发现，ESG标准高的公司资本成本较低，88%的研究发现良好的ESG实践与卓越的经营业绩相关，80%的研究发现股价与这些好的ESG实践存在正相关关系。</w:t>
      </w:r>
    </w:p>
    <w:p>
      <w:pPr>
        <w:pStyle w:val="7"/>
        <w:spacing w:before="0" w:beforeAutospacing="0" w:after="0" w:afterAutospacing="0"/>
        <w:jc w:val="both"/>
        <w:rPr>
          <w:rFonts w:hint="eastAsia"/>
        </w:rPr>
      </w:pPr>
      <w:r>
        <w:rPr>
          <w:rFonts w:hint="eastAsia"/>
          <w:color w:val="000000"/>
          <w:sz w:val="21"/>
          <w:szCs w:val="21"/>
        </w:rPr>
        <w:t> </w:t>
      </w:r>
    </w:p>
    <w:p>
      <w:pPr>
        <w:pStyle w:val="7"/>
        <w:spacing w:before="0" w:beforeAutospacing="0" w:after="0" w:afterAutospacing="0"/>
        <w:ind w:firstLine="480"/>
        <w:jc w:val="both"/>
        <w:rPr>
          <w:rFonts w:hint="eastAsia"/>
        </w:rPr>
      </w:pPr>
      <w:r>
        <w:rPr>
          <w:rFonts w:hint="eastAsia"/>
          <w:color w:val="000000"/>
          <w:sz w:val="21"/>
          <w:szCs w:val="21"/>
        </w:rPr>
        <w:t>这些实证研究表明，理性的投资者会倾向于获取更多的企业信息，以避免企业长期内受到其外部性的反作用，从而保障长期稳定的投资收益。</w:t>
      </w:r>
    </w:p>
    <w:p>
      <w:pPr>
        <w:pStyle w:val="7"/>
        <w:spacing w:before="0" w:beforeAutospacing="0" w:after="0" w:afterAutospacing="0"/>
        <w:jc w:val="both"/>
        <w:rPr>
          <w:rFonts w:hint="eastAsia"/>
        </w:rPr>
      </w:pPr>
      <w:r>
        <w:rPr>
          <w:rFonts w:hint="eastAsia"/>
          <w:color w:val="000000"/>
          <w:sz w:val="21"/>
          <w:szCs w:val="21"/>
        </w:rPr>
        <w:t> </w:t>
      </w:r>
    </w:p>
    <w:p>
      <w:pPr>
        <w:pStyle w:val="7"/>
        <w:spacing w:before="60" w:beforeAutospacing="0" w:after="60" w:afterAutospacing="0"/>
        <w:jc w:val="center"/>
        <w:rPr>
          <w:rFonts w:hint="eastAsia"/>
        </w:rPr>
      </w:pPr>
      <w:r>
        <w:rPr>
          <w:rFonts w:hint="eastAsia"/>
          <w:color w:val="000000"/>
          <w:sz w:val="21"/>
          <w:szCs w:val="21"/>
        </w:rPr>
        <w:t>新兴市场</w:t>
      </w:r>
    </w:p>
    <w:p>
      <w:pPr>
        <w:pStyle w:val="7"/>
        <w:spacing w:before="60" w:beforeAutospacing="0" w:after="60" w:afterAutospacing="0"/>
        <w:ind w:firstLine="480"/>
        <w:rPr>
          <w:rFonts w:hint="eastAsia"/>
          <w:color w:val="000000"/>
          <w:sz w:val="21"/>
          <w:szCs w:val="21"/>
        </w:rPr>
      </w:pPr>
      <w:r>
        <w:rPr>
          <w:rFonts w:hint="eastAsia"/>
          <w:color w:val="000000"/>
          <w:sz w:val="21"/>
          <w:szCs w:val="21"/>
        </w:rPr>
        <w:t>我们需要进一步讨论成熟市场和要素流动不充分的新兴市场的区别。我们注意到，新兴市场中，社会对企业的反作用似乎并不明显，企业更可能隐蔽其社会责任方面的信息，追求利润最大化。在中国，</w:t>
      </w:r>
      <w:r>
        <w:rPr>
          <w:color w:val="000000"/>
          <w:sz w:val="21"/>
          <w:szCs w:val="21"/>
        </w:rPr>
        <w:t>至今只有屈指可数的企业在这方面达到了跟随者、领导者乃至于模范领袖的地位。其次，国有企业在企业社会责任实践中占主导地位，民企和外企相对较落后。国企中，又以央企和金融行业企业扮演的角色尤其突出。再次，中国企业所从事的社会责任活动更多地聚焦在社会议题，而非环保议题上。企业更关注的是对政府政策的响应、员工福利的保障及社区发展，对环境污染，废弃物处理等议题关注较少。社会责任活动发展不均衡现象明显。（王海峰、 兰赛  北京大学汇丰商学院）</w:t>
      </w:r>
    </w:p>
    <w:p>
      <w:pPr>
        <w:pStyle w:val="7"/>
        <w:spacing w:before="60" w:beforeAutospacing="0" w:after="60" w:afterAutospacing="0"/>
        <w:ind w:firstLine="480"/>
        <w:rPr>
          <w:rFonts w:hint="eastAsia"/>
          <w:color w:val="000000"/>
          <w:sz w:val="21"/>
          <w:szCs w:val="21"/>
        </w:rPr>
      </w:pPr>
      <w:r>
        <w:rPr>
          <w:rFonts w:hint="eastAsia"/>
          <w:color w:val="000000"/>
          <w:sz w:val="21"/>
          <w:szCs w:val="21"/>
        </w:rPr>
        <w:t>我们认为新兴市场ESG发展不健全的原因可以概括为,公共对话和市场机制不健全,人们无法接触有意义的信息，难以通过合法有效的途径表达诉求。事实上，与许多发达国家依靠投资者需求驱动不同，政策规范、监管助力是国内机构践行 ESG 投资理念的强大动力。（《2023中国ESG发展白皮书》）</w:t>
      </w:r>
    </w:p>
    <w:p>
      <w:pPr>
        <w:pStyle w:val="7"/>
        <w:autoSpaceDE w:val="0"/>
        <w:autoSpaceDN w:val="0"/>
        <w:spacing w:before="60" w:beforeAutospacing="0" w:after="60" w:afterAutospacing="0"/>
        <w:ind w:firstLine="480"/>
        <w:jc w:val="both"/>
        <w:rPr>
          <w:color w:val="000000"/>
          <w:sz w:val="21"/>
          <w:szCs w:val="21"/>
        </w:rPr>
      </w:pPr>
      <w:r>
        <w:rPr>
          <w:rFonts w:hint="eastAsia"/>
          <w:color w:val="000000"/>
          <w:sz w:val="21"/>
          <w:szCs w:val="21"/>
        </w:rPr>
        <w:t>实证研究表明，只有当消费者意识较高时，企业的价值才与CSR 投入正相关（</w:t>
      </w:r>
      <w:r>
        <w:rPr>
          <w:color w:val="000000"/>
          <w:sz w:val="21"/>
          <w:szCs w:val="21"/>
        </w:rPr>
        <w:t>Servaes H, Tamayo A. The impact of corporate social  responsibility on firm value: The role of customer awareness[J]. Management Science, 2013, 59(5): 1045-1061</w:t>
      </w:r>
      <w:r>
        <w:rPr>
          <w:rFonts w:hint="eastAsia"/>
          <w:color w:val="000000"/>
          <w:sz w:val="21"/>
          <w:szCs w:val="21"/>
        </w:rPr>
        <w:t>）良好的与利益相关者的关系同样能够帮助企业缓和潜在的危机。</w:t>
      </w:r>
    </w:p>
    <w:p>
      <w:pPr>
        <w:pStyle w:val="7"/>
        <w:autoSpaceDE w:val="0"/>
        <w:autoSpaceDN w:val="0"/>
        <w:spacing w:before="60" w:beforeAutospacing="0" w:after="60" w:afterAutospacing="0"/>
        <w:jc w:val="both"/>
        <w:rPr>
          <w:rFonts w:hint="eastAsia"/>
          <w:color w:val="000000"/>
          <w:sz w:val="21"/>
          <w:szCs w:val="21"/>
        </w:rPr>
      </w:pPr>
      <w:r>
        <w:rPr>
          <w:rFonts w:hint="eastAsia"/>
          <w:color w:val="000000"/>
          <w:sz w:val="21"/>
          <w:szCs w:val="21"/>
        </w:rPr>
        <w:t>（</w:t>
      </w:r>
      <w:r>
        <w:rPr>
          <w:color w:val="000000"/>
          <w:sz w:val="21"/>
          <w:szCs w:val="21"/>
        </w:rPr>
        <w:t>Fombrun  C  J,  Gardberg  N  A,  Barnett  M  L.  Opportunity  platforms  and  safety  nets:  Corporate  citizenship  and  reputational  risk[J].  Business  and  Society  Review,  2000,  105(1): 85-106. </w:t>
      </w:r>
      <w:r>
        <w:rPr>
          <w:rFonts w:hint="eastAsia"/>
          <w:color w:val="000000"/>
          <w:sz w:val="21"/>
          <w:szCs w:val="21"/>
        </w:rPr>
        <w:t>）例如产品质量问题带来的公关危机。因此，如果企业能够与不同的利益相关者建立友好互信的关系，并且能与利益相关者们形成良好的沟通，将大大提高企业从CSR 活动中创造价值的能力。</w:t>
      </w:r>
    </w:p>
    <w:p>
      <w:pPr>
        <w:pStyle w:val="7"/>
        <w:spacing w:before="60" w:beforeAutospacing="0" w:after="60" w:afterAutospacing="0"/>
        <w:ind w:firstLine="480"/>
        <w:rPr>
          <w:rFonts w:hint="eastAsia"/>
          <w:color w:val="000000"/>
          <w:sz w:val="21"/>
          <w:szCs w:val="21"/>
        </w:rPr>
      </w:pPr>
      <w:r>
        <w:rPr>
          <w:rFonts w:hint="eastAsia"/>
          <w:color w:val="000000"/>
          <w:sz w:val="21"/>
          <w:szCs w:val="21"/>
        </w:rPr>
        <w:t>对于新兴市场，政府计划被下意识地使用在诸多宏观领域，特别是近来兴起的”碳中和“，极大地扩张了政府权力。例如，2021年3月、4月PPI快速上行的背后重要的原因是，一些地方、一些领域过于依赖关停限产等刚性较强的行政政策。吴敬链指出：”在中国，当人们讲到“调整结构”的时候，它的隐含主语通常就是政府。而由于政府不可能预见到什么是最优的经济结构，由政府按照自己的主观设想，通过所谓“产业政策”进行“结构调整”，并不能达成改善经济结构和提高资源配置效率的预期目标，甚至还会导致相反的结果。</w:t>
      </w:r>
    </w:p>
    <w:p>
      <w:pPr>
        <w:pStyle w:val="7"/>
        <w:spacing w:before="0" w:beforeAutospacing="0" w:after="0" w:afterAutospacing="0"/>
        <w:ind w:firstLine="420"/>
        <w:jc w:val="both"/>
        <w:rPr>
          <w:rFonts w:hint="eastAsia"/>
        </w:rPr>
      </w:pPr>
      <w:r>
        <w:rPr>
          <w:rFonts w:hint="eastAsia"/>
          <w:color w:val="000000"/>
          <w:sz w:val="21"/>
          <w:szCs w:val="21"/>
        </w:rPr>
        <w:t>这种自上而下的企业社会责任政策的推行方式，有利有弊。从好的方面来说，有利于国企较快地采纳CSR并且从事相关实践，成为其他类型企业树立榜样。从不好的一面来说，由于这种推行方式并没有使企业真正意识到参与社会责任活动能带来的潜在收益，企业只是在被动地履行政治义务，而不会将CSR 纳入到其战略考虑中，政策推广的结果可能导致敷衍了事、虎头蛇尾。</w:t>
      </w:r>
    </w:p>
    <w:p>
      <w:pPr>
        <w:pStyle w:val="7"/>
        <w:spacing w:before="0" w:beforeAutospacing="0" w:after="0" w:afterAutospacing="0"/>
        <w:ind w:firstLine="420"/>
        <w:jc w:val="both"/>
        <w:rPr>
          <w:color w:val="000000"/>
          <w:sz w:val="21"/>
          <w:szCs w:val="21"/>
        </w:rPr>
      </w:pPr>
      <w:r>
        <w:rPr>
          <w:rFonts w:hint="eastAsia"/>
          <w:color w:val="000000"/>
          <w:sz w:val="21"/>
          <w:szCs w:val="21"/>
        </w:rPr>
        <w:t>但是，即使在这样的环境中，也会存在某种畸形的“社会责任“。比如，位于尼日利亚的石油精练厂，会根据社区的大小，允许沿途的居民”劫取“40加仑的原油，作为保护油罐车免受真正窃贼偷盗的交换。根据投资公司的计算，这大约只是支付给安保公司费用的一半。</w:t>
      </w:r>
    </w:p>
    <w:p>
      <w:pPr>
        <w:pStyle w:val="7"/>
        <w:spacing w:before="0" w:beforeAutospacing="0" w:after="0" w:afterAutospacing="0"/>
        <w:ind w:firstLine="420"/>
        <w:jc w:val="center"/>
        <w:rPr>
          <w:rFonts w:hint="eastAsia"/>
        </w:rPr>
      </w:pPr>
      <w:r>
        <w:rPr>
          <w:rFonts w:hint="eastAsia"/>
          <w:color w:val="000000"/>
          <w:sz w:val="21"/>
          <w:szCs w:val="21"/>
        </w:rPr>
        <w:t>市场的希望</w:t>
      </w:r>
    </w:p>
    <w:p>
      <w:pPr>
        <w:pStyle w:val="7"/>
        <w:spacing w:before="0" w:beforeAutospacing="0" w:after="0" w:afterAutospacing="0"/>
        <w:ind w:firstLine="420"/>
        <w:jc w:val="both"/>
        <w:rPr>
          <w:rFonts w:hint="eastAsia"/>
        </w:rPr>
      </w:pPr>
      <w:r>
        <w:rPr>
          <w:rFonts w:hint="eastAsia"/>
          <w:color w:val="000000"/>
          <w:sz w:val="21"/>
          <w:szCs w:val="21"/>
        </w:rPr>
        <w:t> “于无声处开花，平地上起惊雷”，我们注意到，年轻一代可以更加自由地选择他们认为有价值，有社会责任的公司，他们受过良好的教育，更加团结，更有意愿按照他们的价值观改造世界，而不是想他们的父母一样选择被规训。这可能会使社会对公司的社会影响的响应更加及时有效。</w:t>
      </w:r>
    </w:p>
    <w:p>
      <w:pPr>
        <w:pStyle w:val="7"/>
        <w:spacing w:before="0" w:beforeAutospacing="0" w:after="0" w:afterAutospacing="0"/>
        <w:ind w:firstLine="420"/>
        <w:jc w:val="both"/>
        <w:rPr>
          <w:rFonts w:hint="eastAsia"/>
          <w:color w:val="000000"/>
          <w:sz w:val="21"/>
          <w:szCs w:val="21"/>
        </w:rPr>
      </w:pPr>
      <w:r>
        <w:rPr>
          <w:rFonts w:hint="eastAsia"/>
          <w:color w:val="000000"/>
          <w:sz w:val="21"/>
          <w:szCs w:val="21"/>
        </w:rPr>
        <w:t>美国研究者、企业家汤玛斯·辜洛普罗斯和丹·凯德生所著《Z世代效应》一书,强调的“Z世代效应”指的就是“科技的简单化和人人花得起，将世代团结起来而非分化之后所发生的状况”,这暗示着Z世代的年轻人更加团结，更可能对企业外部性作出有效响应。</w:t>
      </w:r>
      <w:r>
        <w:rPr>
          <w:color w:val="000000"/>
          <w:sz w:val="21"/>
          <w:szCs w:val="21"/>
        </w:rPr>
        <w:t>在Z世代青少年时期，义务教育全面普及，高等教育不断扩招，这使得这一世代受教育水平不断提高，个体化发展程度也越来越高，受现代性观念的影响更深，性别平等思潮不断发展，对于传统性别观念与家庭伦理规范的批判越来越激烈，不婚不育观念以及现象越来越普遍，更加注重个体的感受与舒适生活，质疑传统价值观（</w:t>
      </w:r>
      <w:r>
        <w:fldChar w:fldCharType="begin"/>
      </w:r>
      <w:r>
        <w:instrText xml:space="preserve"> HYPERLINK "http://mp.weixin.qq.com/s?__biz=MzUxOTI4NjI3MA==&amp;mid=2247492694&amp;idx=1&amp;sn=8c79ed930aa379ceb1b30e22f1c254ef&amp;chksm=f9f958c7ce8ed1d1c327afc7711ea53539383e7e712988ad9d82e1dc14c5ce0e379e81a218ba" \l "rd" </w:instrText>
      </w:r>
      <w:r>
        <w:fldChar w:fldCharType="separate"/>
      </w:r>
      <w:r>
        <w:rPr>
          <w:rFonts w:hint="eastAsia"/>
          <w:color w:val="000000"/>
          <w:sz w:val="21"/>
          <w:szCs w:val="21"/>
        </w:rPr>
        <w:t>行业研习 （ID：hangyeyanxi）</w:t>
      </w:r>
      <w:r>
        <w:rPr>
          <w:rFonts w:hint="eastAsia"/>
          <w:color w:val="000000"/>
          <w:sz w:val="21"/>
          <w:szCs w:val="21"/>
        </w:rPr>
        <w:fldChar w:fldCharType="end"/>
      </w:r>
      <w:r>
        <w:rPr>
          <w:color w:val="000000"/>
          <w:sz w:val="21"/>
          <w:szCs w:val="21"/>
        </w:rPr>
        <w:t>，作者：周新成）。人们普遍感到，Z世代的年轻人对社会影响的敏感度大幅上升，企业面向此类消费者的风险敞口越来越大。</w:t>
      </w:r>
    </w:p>
    <w:p>
      <w:pPr>
        <w:pStyle w:val="7"/>
        <w:spacing w:before="0" w:beforeAutospacing="0" w:after="0" w:afterAutospacing="0"/>
        <w:ind w:firstLine="420"/>
        <w:jc w:val="center"/>
        <w:rPr>
          <w:rFonts w:hint="eastAsia"/>
          <w:color w:val="000000"/>
          <w:sz w:val="21"/>
          <w:szCs w:val="21"/>
        </w:rPr>
      </w:pPr>
      <w:r>
        <w:rPr>
          <w:rFonts w:hint="eastAsia"/>
          <w:color w:val="000000"/>
          <w:sz w:val="21"/>
          <w:szCs w:val="21"/>
        </w:rPr>
        <w:t>ESG的路径</w:t>
      </w:r>
    </w:p>
    <w:p>
      <w:pPr>
        <w:pStyle w:val="7"/>
        <w:spacing w:before="0" w:beforeAutospacing="0" w:after="0" w:afterAutospacing="0"/>
        <w:ind w:firstLine="420"/>
        <w:jc w:val="both"/>
        <w:rPr>
          <w:rFonts w:hint="eastAsia"/>
          <w:color w:val="000000"/>
          <w:sz w:val="21"/>
          <w:szCs w:val="21"/>
        </w:rPr>
      </w:pPr>
      <w:r>
        <w:rPr>
          <w:rFonts w:hint="eastAsia"/>
          <w:color w:val="000000"/>
          <w:sz w:val="21"/>
          <w:szCs w:val="21"/>
        </w:rPr>
        <w:t>我们对ESG保有坚定的信念，首先，这是一个符合当下思想潮流的强大理念，有不可否认的道德正义，作为一个政治正确的巨大优势是它很难受到指责。其次，这是一个可以盈利的投资策略。更重要的，我们看到了来自底层、更有素质的世代的崛起，他们正跌跌撞撞地学习被他们父辈抛弃的集体理性和主动参与，虽然这伴随着阵痛、误导和阻挠。</w:t>
      </w:r>
    </w:p>
    <w:p>
      <w:pPr>
        <w:pStyle w:val="7"/>
        <w:spacing w:before="0" w:beforeAutospacing="0" w:after="0" w:afterAutospacing="0"/>
        <w:ind w:firstLine="420"/>
        <w:jc w:val="left"/>
        <w:rPr>
          <w:rFonts w:hint="eastAsia"/>
          <w:color w:val="000000"/>
          <w:sz w:val="21"/>
          <w:szCs w:val="21"/>
        </w:rPr>
      </w:pPr>
      <w:r>
        <w:rPr>
          <w:rFonts w:hint="eastAsia"/>
          <w:color w:val="000000"/>
          <w:sz w:val="21"/>
          <w:szCs w:val="21"/>
        </w:rPr>
        <w:t>我们看到，在中国经济还在步履蹒跚转型之际，环境要求又给其带来了新的硬约束，在这个硬约束下，如何在纠正市场机制缺失的同时避免政府过度干预，如何平衡短期与长期、局部与整体利益，没有先例可循。这个过程对经济社会的影响将如何呈现有很大的不确定性，但根本可能在于对社会主流思维的冲击。而我们认为，更广泛的公共参与是根本之道，新的约束和原先的一般增长的要求完整的融合在一起，使其完整地来自每个具体的人，可以有效地向供给侧传递清晰的信息，稳定市场预期，推动经济在双重约束下稳健发展。事实上，当决策层被技术性政策所困扰之际，双重约束的要求不同，而且两个部分没有很好的融合，将导致引导供给端的信息模糊摇摆。在大多数情况下，两者的权重是不同且变化的，两者与供给方之间的沟通不足，使经济踌躇徘徊，无数个体的茫然统治着市场。</w:t>
      </w:r>
    </w:p>
    <w:p>
      <w:pPr>
        <w:pStyle w:val="7"/>
        <w:spacing w:before="0" w:beforeAutospacing="0" w:after="0" w:afterAutospacing="0"/>
        <w:ind w:firstLine="420"/>
        <w:jc w:val="center"/>
        <w:rPr>
          <w:rFonts w:hint="eastAsia"/>
          <w:color w:val="000000"/>
          <w:sz w:val="21"/>
          <w:szCs w:val="21"/>
        </w:rPr>
      </w:pPr>
      <w:r>
        <w:rPr>
          <w:rFonts w:hint="eastAsia"/>
          <w:color w:val="000000"/>
          <w:sz w:val="21"/>
          <w:szCs w:val="21"/>
        </w:rPr>
        <w:t>社会化生产</w:t>
      </w:r>
    </w:p>
    <w:p>
      <w:pPr>
        <w:pStyle w:val="7"/>
        <w:spacing w:before="0" w:beforeAutospacing="0" w:after="0" w:afterAutospacing="0"/>
        <w:ind w:firstLine="420"/>
        <w:jc w:val="both"/>
        <w:rPr>
          <w:rFonts w:hint="eastAsia"/>
          <w:color w:val="000000"/>
          <w:sz w:val="21"/>
          <w:szCs w:val="21"/>
        </w:rPr>
      </w:pPr>
      <w:r>
        <w:rPr>
          <w:rFonts w:hint="eastAsia"/>
          <w:color w:val="000000"/>
          <w:sz w:val="21"/>
          <w:szCs w:val="21"/>
        </w:rPr>
        <w:t>中国关于经济范式的理解在历史中，经历了数次发展与迭代，从中南海决策层到市井小巷，至今关于经济范式的迷雾仍然笼罩着这个国家。更具体地说，对于”社会主义“情节，这片土地上的生灵依旧无法释怀。</w:t>
      </w:r>
    </w:p>
    <w:p>
      <w:pPr>
        <w:pStyle w:val="7"/>
        <w:spacing w:before="0" w:beforeAutospacing="0" w:after="0" w:afterAutospacing="0"/>
        <w:ind w:firstLine="420"/>
        <w:jc w:val="both"/>
        <w:rPr>
          <w:rFonts w:hint="eastAsia"/>
          <w:color w:val="000000"/>
          <w:sz w:val="21"/>
          <w:szCs w:val="21"/>
        </w:rPr>
      </w:pPr>
      <w:r>
        <w:rPr>
          <w:rFonts w:hint="eastAsia"/>
          <w:color w:val="000000"/>
          <w:sz w:val="21"/>
          <w:szCs w:val="21"/>
        </w:rPr>
        <w:t>在马克思主义的经典作家看来，把市场和社会主义放在一起是悖理的，因为在独立的经济主体之间进行的市场交换，是无法与财富属于社会全体成员的社会主义经济兼容的。马克思说：“设想一个自由人联合体，他们用公共的生产资料进行劳动，并且自觉地把他们许多个人劳动力当作一个社会劳动力来使用。在那里，鲁滨逊的劳动的一切规定又重演了，不过不是在个人身上，而是在社会范围内重演。鲁滨逊的一切产品只是他个人的产品，因而直接是他的使用物品。</w:t>
      </w:r>
    </w:p>
    <w:p>
      <w:pPr>
        <w:pStyle w:val="7"/>
        <w:spacing w:before="0" w:beforeAutospacing="0" w:after="0" w:afterAutospacing="0"/>
        <w:ind w:firstLine="420"/>
        <w:jc w:val="both"/>
        <w:rPr>
          <w:rFonts w:hint="eastAsia"/>
          <w:color w:val="000000"/>
          <w:sz w:val="21"/>
          <w:szCs w:val="21"/>
        </w:rPr>
      </w:pPr>
      <w:r>
        <w:rPr>
          <w:rFonts w:hint="eastAsia"/>
          <w:color w:val="000000"/>
          <w:sz w:val="21"/>
          <w:szCs w:val="21"/>
        </w:rPr>
        <w:t>关于社会主义的基本经济制度，在斯大林的亲自指导下由苏联科学院经济研究所编写的《政治经济学教科书》说得十分清楚。它写道：“生产资料公有制是社会主义生产关系的基础”，“在社会主义条件下，公有制在国民经济的一切领域内都占有绝对统治地位”。“社会主义公有制有两种形式：(1)国家全民所有制；(2)合作社集体农场所有制。”</w:t>
      </w:r>
    </w:p>
    <w:p>
      <w:pPr>
        <w:pStyle w:val="7"/>
        <w:spacing w:before="0" w:beforeAutospacing="0" w:after="0" w:afterAutospacing="0"/>
        <w:jc w:val="both"/>
        <w:rPr>
          <w:rFonts w:hint="eastAsia"/>
          <w:color w:val="000000"/>
          <w:sz w:val="21"/>
          <w:szCs w:val="21"/>
        </w:rPr>
      </w:pPr>
      <w:r>
        <w:rPr>
          <w:rFonts w:hint="eastAsia"/>
          <w:color w:val="000000"/>
          <w:sz w:val="21"/>
          <w:szCs w:val="21"/>
        </w:rPr>
        <w:t>苏联的制度模式对社会主义阵营中各国的经济制度产生了决定性的影响，在相当长的时间内根深蒂固，不容任何怀疑和讨论。早在1953年毛泽东修订的《过渡时期总路线宣传提纲》中就明确指出：“这条总路线的实质，就是使生产资料的社会主义所有制成为我们国家和社会唯一的经济基础。”在国有制和准国有的集体所有制成为唯一的经济基础以后，又制定了“穷过渡”的方针，要求早日过渡到“全面的全民所有制”，即全面的国有制上去。</w:t>
      </w:r>
    </w:p>
    <w:p>
      <w:pPr>
        <w:pStyle w:val="7"/>
        <w:spacing w:before="0" w:beforeAutospacing="0" w:after="0" w:afterAutospacing="0"/>
        <w:ind w:firstLine="480"/>
        <w:jc w:val="both"/>
        <w:rPr>
          <w:rFonts w:hint="eastAsia"/>
          <w:color w:val="000000"/>
          <w:sz w:val="21"/>
          <w:szCs w:val="21"/>
        </w:rPr>
      </w:pPr>
      <w:r>
        <w:rPr>
          <w:rFonts w:hint="eastAsia"/>
          <w:color w:val="000000"/>
          <w:sz w:val="21"/>
          <w:szCs w:val="21"/>
        </w:rPr>
        <w:t>为了避开来自传统意识形态的巨大政治障碍，邓小平等改革领导人采取了种种变通政策和“不争论”等策略手段，缓步松动国有经济的绝对控制，使民间创业行为获得一定的活动空间。 不过直到20世纪80年代初期，私人企业仍在禁止之列。1982年12月通过的《中华人民共和国宪法》规定，“中华人民共和国的社会经济制度的基础是生产资料的社会主义公有制，即全民所有制和劳动群众集体所有制。直到1987年10月，中共十三大宣布“私营经济一定程度的发展，有利于促进生产，活跃市场，扩大就业，更好地满足人民多方面的的生活需求，是公有制经济必要的和有益的补充”，私营企业才正式取得了合法地位。</w:t>
      </w:r>
    </w:p>
    <w:p>
      <w:pPr>
        <w:pStyle w:val="7"/>
        <w:spacing w:before="0" w:beforeAutospacing="0" w:after="0" w:afterAutospacing="0"/>
        <w:ind w:firstLine="480"/>
        <w:jc w:val="both"/>
        <w:rPr>
          <w:rFonts w:hint="eastAsia"/>
          <w:color w:val="000000"/>
          <w:sz w:val="21"/>
          <w:szCs w:val="21"/>
        </w:rPr>
      </w:pPr>
      <w:r>
        <w:rPr>
          <w:rFonts w:hint="eastAsia"/>
          <w:color w:val="000000"/>
          <w:sz w:val="21"/>
          <w:szCs w:val="21"/>
        </w:rPr>
        <w:t>此后（具体时间我们无力查证，但可以确定在十五大之前），国务院发展研究中心“国有经济的战略性改组”课题组针对当时”万外言书“的反对观点做了集中陈述，他们从理论和实际两个方面提出自己的观点：从理论方面说，他们指出，社会主义作为一种社会理想，本质在于追求社会公正和共同富裕。“一个国家是否具有社会主义的性质，并不是由国有经济所占份额决定的……只要共产党采取正确的政策有效地防止了财富分配的两极分化，我们国家的社会主义性质都是有保证的”。所谓“社会主义把国有制作为公有制的高级形式和必须追求的目标”，无非是苏联《政治经济学教科书》关于社会主义基本经济特征的旧调重弹。这些观点已经成为进一步推进改革开放的主要障碍。十分有必要“摆脱苏联模式和《政治经济学教科书》的束缚，对社会主义作出更明确的定义”。</w:t>
      </w:r>
    </w:p>
    <w:p>
      <w:pPr>
        <w:pStyle w:val="7"/>
        <w:spacing w:before="0" w:beforeAutospacing="0" w:after="0" w:afterAutospacing="0"/>
        <w:ind w:firstLine="420"/>
        <w:jc w:val="both"/>
        <w:rPr>
          <w:rFonts w:hint="eastAsia"/>
          <w:color w:val="000000"/>
          <w:sz w:val="21"/>
          <w:szCs w:val="21"/>
        </w:rPr>
      </w:pPr>
      <w:r>
        <w:rPr>
          <w:rFonts w:hint="eastAsia"/>
          <w:color w:val="000000"/>
          <w:sz w:val="21"/>
          <w:szCs w:val="21"/>
        </w:rPr>
        <w:t>十五大报告指出：“公有制经济不仅包括国有经济和集体经济”，“要努力寻找能够极大促进生产力发展的公有制实现形式”，“一切反映社会化生产规律的经营方式和组织形式都可以大胆利用”。这样，就为拓宽公有制的延给出了很大的空间，并使“公有制为主体”具有更大的包容性。</w:t>
      </w:r>
    </w:p>
    <w:p>
      <w:pPr>
        <w:pStyle w:val="7"/>
        <w:spacing w:before="0" w:beforeAutospacing="0" w:after="0" w:afterAutospacing="0"/>
        <w:ind w:firstLine="420"/>
        <w:jc w:val="both"/>
        <w:rPr>
          <w:color w:val="000000"/>
          <w:sz w:val="21"/>
          <w:szCs w:val="21"/>
        </w:rPr>
      </w:pPr>
      <w:r>
        <w:rPr>
          <w:rFonts w:hint="eastAsia"/>
          <w:color w:val="000000"/>
          <w:sz w:val="21"/>
          <w:szCs w:val="21"/>
        </w:rPr>
        <w:t>从马克思到中共十五大，市场和社会主义的关系逐渐清晰明朗，可以说，社会主义作为一种社会理想，应当运用一切反应社会化生产规律的经营方式，追求社会公平和共同富裕。</w:t>
      </w:r>
    </w:p>
    <w:p>
      <w:pPr>
        <w:pStyle w:val="7"/>
        <w:spacing w:before="0" w:beforeAutospacing="0" w:after="0" w:afterAutospacing="0"/>
        <w:ind w:firstLine="420"/>
        <w:jc w:val="both"/>
        <w:rPr>
          <w:rFonts w:hint="eastAsia"/>
          <w:color w:val="000000"/>
          <w:sz w:val="21"/>
          <w:szCs w:val="21"/>
        </w:rPr>
      </w:pPr>
      <w:r>
        <w:rPr>
          <w:rFonts w:hint="eastAsia"/>
          <w:color w:val="000000"/>
          <w:sz w:val="21"/>
          <w:szCs w:val="21"/>
        </w:rPr>
        <w:t>他们曾经历过巨大的撕裂，这背后，一代意气风发，满</w:t>
      </w:r>
      <w:r>
        <w:rPr>
          <w:rFonts w:hint="eastAsia"/>
          <w:color w:val="000000"/>
          <w:sz w:val="21"/>
          <w:szCs w:val="21"/>
          <w:lang w:val="en-US" w:eastAsia="zh-CN"/>
        </w:rPr>
        <w:t>腔</w:t>
      </w:r>
      <w:r>
        <w:rPr>
          <w:rFonts w:hint="eastAsia"/>
          <w:color w:val="000000"/>
          <w:sz w:val="21"/>
          <w:szCs w:val="21"/>
        </w:rPr>
        <w:t>热血的年轻人，压抑住内心所有的怀疑，以空前的热情去构筑和论证一系列日后被证明是漏洞百出的体系。而更可悲的是，在他们的生命进入中年或晚年之后，又不得不转身，以更大的道德勇气和广泛的理论武器，对那个他们亲自参与构筑的、无比顽固的体系进行毁灭性的推倒。</w:t>
      </w:r>
    </w:p>
    <w:p>
      <w:pPr>
        <w:pStyle w:val="7"/>
        <w:spacing w:before="0" w:beforeAutospacing="0" w:after="0" w:afterAutospacing="0"/>
        <w:ind w:firstLine="420"/>
        <w:jc w:val="both"/>
        <w:rPr>
          <w:color w:val="000000"/>
          <w:sz w:val="21"/>
          <w:szCs w:val="21"/>
        </w:rPr>
      </w:pPr>
      <w:r>
        <w:rPr>
          <w:rFonts w:hint="eastAsia"/>
          <w:color w:val="000000"/>
          <w:sz w:val="21"/>
          <w:szCs w:val="21"/>
        </w:rPr>
        <w:t>历史滚滚行进，人们愈发感觉，类似的事情似乎又要发生，但这绝不是倒退。新的问题考验着新世代的理性、决心和团结。</w:t>
      </w:r>
    </w:p>
    <w:p>
      <w:pPr>
        <w:pStyle w:val="7"/>
        <w:spacing w:before="0" w:beforeAutospacing="0" w:after="0" w:afterAutospacing="0"/>
        <w:ind w:firstLine="420"/>
        <w:jc w:val="center"/>
        <w:rPr>
          <w:rFonts w:hint="eastAsia"/>
          <w:color w:val="000000"/>
          <w:sz w:val="21"/>
          <w:szCs w:val="21"/>
        </w:rPr>
      </w:pPr>
      <w:r>
        <w:rPr>
          <w:rFonts w:hint="eastAsia"/>
          <w:color w:val="000000"/>
          <w:sz w:val="21"/>
          <w:szCs w:val="21"/>
        </w:rPr>
        <w:t>ESG与中国特色社会主义市场经济</w:t>
      </w:r>
    </w:p>
    <w:p>
      <w:pPr>
        <w:pStyle w:val="7"/>
        <w:spacing w:before="0" w:beforeAutospacing="0" w:after="0" w:afterAutospacing="0"/>
        <w:ind w:firstLine="420"/>
        <w:jc w:val="both"/>
        <w:rPr>
          <w:rFonts w:hint="eastAsia"/>
          <w:color w:val="000000"/>
          <w:sz w:val="21"/>
          <w:szCs w:val="21"/>
        </w:rPr>
      </w:pPr>
      <w:r>
        <w:rPr>
          <w:rFonts w:hint="eastAsia"/>
          <w:color w:val="000000"/>
          <w:sz w:val="21"/>
          <w:szCs w:val="21"/>
        </w:rPr>
        <w:t>针对资本市场，特别是金融市场，黄奇帆认为这“为社会主义公有制探索了高质量有效益的实现形式”，"而上市公司恰恰是最规范、最典型的股份公司。作为公众公司，上市公司理所当然是社会主义公有制的一种最佳的实现形式。"（需要说明是，他说“马克思、恩格斯在100多年前就深刻地指出，股份制和股份合作制是一种社会主义公有制的实现形式”，但我们并没有在马克思、恩格斯的材料中找到准确的印证。）</w:t>
      </w:r>
    </w:p>
    <w:p>
      <w:pPr>
        <w:pStyle w:val="7"/>
        <w:spacing w:before="0" w:beforeAutospacing="0" w:after="0" w:afterAutospacing="0"/>
        <w:ind w:firstLine="420"/>
        <w:jc w:val="both"/>
        <w:rPr>
          <w:rFonts w:hint="eastAsia"/>
          <w:color w:val="000000"/>
          <w:sz w:val="21"/>
          <w:szCs w:val="21"/>
        </w:rPr>
      </w:pPr>
      <w:r>
        <w:rPr>
          <w:color w:val="000000"/>
          <w:sz w:val="21"/>
          <w:szCs w:val="21"/>
        </w:rPr>
        <w:t>ESG</w:t>
      </w:r>
      <w:r>
        <w:rPr>
          <w:rFonts w:hint="eastAsia"/>
          <w:color w:val="000000"/>
          <w:sz w:val="21"/>
          <w:szCs w:val="21"/>
        </w:rPr>
        <w:t>理念与我国新发展理念、“双碳”目标愿景和生态文明建设的方向相一致，与党的二十大报告提出的“坚持可持续发展”“加快发展方式绿色转型”等一系列重要论述高度契合。实践表明，提高</w:t>
      </w:r>
      <w:r>
        <w:rPr>
          <w:color w:val="000000"/>
          <w:sz w:val="21"/>
          <w:szCs w:val="21"/>
        </w:rPr>
        <w:t>ESG</w:t>
      </w:r>
      <w:r>
        <w:rPr>
          <w:rFonts w:hint="eastAsia"/>
          <w:color w:val="000000"/>
          <w:sz w:val="21"/>
          <w:szCs w:val="21"/>
        </w:rPr>
        <w:t>表现有助于改进公司治理质量、运营质量和创新质量，促进技术革新、提高市场认可度美誉度，降低经营风险和市场风险，推动企业可持续发展并获得优质融资机会，提升企业的核心竞争力和市场影响力。（湖南省委党校第</w:t>
      </w:r>
      <w:r>
        <w:rPr>
          <w:color w:val="000000"/>
          <w:sz w:val="21"/>
          <w:szCs w:val="21"/>
        </w:rPr>
        <w:t>65</w:t>
      </w:r>
      <w:r>
        <w:rPr>
          <w:rFonts w:hint="eastAsia"/>
          <w:color w:val="000000"/>
          <w:sz w:val="21"/>
          <w:szCs w:val="21"/>
        </w:rPr>
        <w:t>期中青二班学员，湖南财信金控集团可持续发展管理部副总经理 吴心韬）</w:t>
      </w:r>
    </w:p>
    <w:p>
      <w:pPr>
        <w:pStyle w:val="7"/>
        <w:spacing w:before="0" w:beforeAutospacing="0" w:after="0" w:afterAutospacing="0"/>
        <w:ind w:firstLine="420"/>
        <w:jc w:val="both"/>
        <w:rPr>
          <w:rFonts w:hint="eastAsia"/>
          <w:color w:val="000000"/>
          <w:sz w:val="21"/>
          <w:szCs w:val="21"/>
        </w:rPr>
      </w:pPr>
      <w:r>
        <w:rPr>
          <w:rFonts w:hint="eastAsia"/>
          <w:color w:val="000000"/>
          <w:sz w:val="21"/>
          <w:szCs w:val="21"/>
        </w:rPr>
        <w:t>我们认为ESG是一种扩大“社会化生产”的手段，追求社会公平和共同富裕的有效途径。并且有希望成为解开纠缠在中国上下的”社会主义“情节的钥匙。首先，获得更多的信息的市场投资者可以一定程度上影响企业决策，践行“社会化生产”；需要说明的是，他们本身也是消费者，所以这种影响是精准而且有效的。其次，践行ESG 理念的积极投资者会降低企业的“代理人风险“，尽可能地避免”道德风险“，保证公平的股东权益分配。总的来说，ESG金融为我们深入理解和践行中国特色社会主义市场经济体制，</w:t>
      </w:r>
      <w:bookmarkStart w:id="0" w:name="_GoBack"/>
      <w:bookmarkEnd w:id="0"/>
      <w:r>
        <w:rPr>
          <w:rFonts w:hint="eastAsia"/>
          <w:color w:val="000000"/>
          <w:sz w:val="21"/>
          <w:szCs w:val="21"/>
        </w:rPr>
        <w:t>提供了新的、有广袤前景的思路。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74E"/>
    <w:rsid w:val="00052857"/>
    <w:rsid w:val="0019108D"/>
    <w:rsid w:val="002157C0"/>
    <w:rsid w:val="00240347"/>
    <w:rsid w:val="002E774E"/>
    <w:rsid w:val="0037275A"/>
    <w:rsid w:val="005E511D"/>
    <w:rsid w:val="006375F2"/>
    <w:rsid w:val="006A227E"/>
    <w:rsid w:val="006A7473"/>
    <w:rsid w:val="00732421"/>
    <w:rsid w:val="00733722"/>
    <w:rsid w:val="00837703"/>
    <w:rsid w:val="009D4AB6"/>
    <w:rsid w:val="00AA1DF2"/>
    <w:rsid w:val="00B15585"/>
    <w:rsid w:val="00C01171"/>
    <w:rsid w:val="00D13E53"/>
    <w:rsid w:val="00FC5624"/>
    <w:rsid w:val="0B457D5F"/>
    <w:rsid w:val="598659D9"/>
    <w:rsid w:val="66217DBF"/>
    <w:rsid w:val="73B46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8"/>
    <w:qFormat/>
    <w:uiPriority w:val="9"/>
    <w:pPr>
      <w:keepNext/>
      <w:keepLines/>
      <w:widowControl/>
      <w:spacing w:before="240" w:line="259" w:lineRule="auto"/>
      <w:jc w:val="left"/>
      <w:outlineLvl w:val="0"/>
    </w:pPr>
    <w:rPr>
      <w:rFonts w:asciiTheme="majorHAnsi" w:hAnsiTheme="majorHAnsi" w:eastAsiaTheme="majorEastAsia" w:cstheme="majorBidi"/>
      <w:color w:val="2F5597" w:themeColor="accent1" w:themeShade="BF"/>
      <w:kern w:val="0"/>
      <w:sz w:val="32"/>
      <w:szCs w:val="32"/>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semiHidden/>
    <w:unhideWhenUsed/>
    <w:qFormat/>
    <w:uiPriority w:val="99"/>
    <w:rPr>
      <w:color w:val="0000FF"/>
      <w:u w:val="single"/>
    </w:rPr>
  </w:style>
  <w:style w:type="character" w:customStyle="1" w:styleId="6">
    <w:name w:val="markedcontent"/>
    <w:basedOn w:val="3"/>
    <w:qFormat/>
    <w:uiPriority w:val="0"/>
  </w:style>
  <w:style w:type="paragraph" w:customStyle="1" w:styleId="7">
    <w:name w:val="paragraph"/>
    <w:basedOn w:val="1"/>
    <w:semiHidden/>
    <w:qFormat/>
    <w:uiPriority w:val="0"/>
    <w:pPr>
      <w:widowControl/>
      <w:spacing w:before="100" w:beforeAutospacing="1" w:after="100" w:afterAutospacing="1"/>
      <w:jc w:val="left"/>
    </w:pPr>
    <w:rPr>
      <w:rFonts w:ascii="等线" w:hAnsi="等线" w:eastAsia="等线" w:cs="Times New Roman"/>
      <w:kern w:val="0"/>
      <w:sz w:val="24"/>
      <w:szCs w:val="24"/>
    </w:rPr>
  </w:style>
  <w:style w:type="character" w:customStyle="1" w:styleId="8">
    <w:name w:val="标题 1 字符"/>
    <w:basedOn w:val="3"/>
    <w:link w:val="2"/>
    <w:qFormat/>
    <w:uiPriority w:val="9"/>
    <w:rPr>
      <w:rFonts w:asciiTheme="majorHAnsi" w:hAnsiTheme="majorHAnsi" w:eastAsiaTheme="majorEastAsia" w:cstheme="majorBidi"/>
      <w:color w:val="2F5597" w:themeColor="accent1" w:themeShade="BF"/>
      <w:kern w:val="0"/>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A6B94E68-5E61-4CEE-9D54-9E41E87DC103}">
  <ds:schemaRefs/>
</ds:datastoreItem>
</file>

<file path=docProps/app.xml><?xml version="1.0" encoding="utf-8"?>
<Properties xmlns="http://schemas.openxmlformats.org/officeDocument/2006/extended-properties" xmlns:vt="http://schemas.openxmlformats.org/officeDocument/2006/docPropsVTypes">
  <Template>Normal.dotm</Template>
  <Pages>5</Pages>
  <Words>1144</Words>
  <Characters>6523</Characters>
  <Lines>54</Lines>
  <Paragraphs>15</Paragraphs>
  <TotalTime>5</TotalTime>
  <ScaleCrop>false</ScaleCrop>
  <LinksUpToDate>false</LinksUpToDate>
  <CharactersWithSpaces>7652</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2024-03-31T09:54:00Z</dcterms:created>
  <dc:creator>挺钊 张</dc:creator>
  <cp:lastModifiedBy>WPS_1704615386</cp:lastModifiedBy>
  <dcterms:modified xsi:type="dcterms:W3CDTF">2024-04-16T17:40:26Z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5CA69C4242C84A6A975552535E83450C_12</vt:lpwstr>
  </property>
</Properties>
</file>