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学科实践二大作业实验报告</w:t>
      </w:r>
    </w:p>
    <w:p>
      <w:pPr>
        <w:jc w:val="center"/>
      </w:pPr>
      <w:r>
        <w:rPr>
          <w:sz w:val="22"/>
        </w:rPr>
        <w:t>题目：基于 ResNet50 + CBAM 的花卉图像分类与消融实验</w:t>
      </w:r>
    </w:p>
    <w:p>
      <w:pPr>
        <w:jc w:val="center"/>
      </w:pPr>
      <w:r>
        <w:rPr>
          <w:sz w:val="22"/>
        </w:rPr>
        <w:t>生成日期：2026-05-27</w:t>
      </w:r>
    </w:p>
    <w:p/>
    <w:p>
      <w:pPr>
        <w:pStyle w:val="Heading1"/>
      </w:pPr>
      <w:r>
        <w:t>1. 课题任务描述</w:t>
      </w:r>
    </w:p>
    <w:p>
      <w:r>
        <w:t>本项目围绕图像分类任务开展，目标是完成一个不少于 5 类的视觉分类系统，并进行可复现的消融实验。我们使用迁移学习的 ResNet50 作为主干网络，进一步引入 CBAM 注意力机制和 MixUp/CutMix 增强策略，比较不同设计对验证集准确率的影响。</w:t>
      </w:r>
    </w:p>
    <w:p>
      <w:pPr>
        <w:pStyle w:val="Heading1"/>
      </w:pPr>
      <w:r>
        <w:t>2. 数据集说明</w:t>
      </w:r>
    </w:p>
    <w:p>
      <w:r>
        <w:t>数据来源：TensorFlow Flowers 公共数据集（公开下载地址见参考文献），本项目离线构建为 processed_data 格式。</w:t>
      </w:r>
    </w:p>
    <w:p>
      <w:r>
        <w:t>本次实验共使用 5 类，训练集 600 张，验证集 150 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类别ID</w:t>
            </w:r>
          </w:p>
        </w:tc>
        <w:tc>
          <w:tcPr>
            <w:tcW w:type="dxa" w:w="2160"/>
          </w:tcPr>
          <w:p>
            <w:r>
              <w:t>类别名</w:t>
            </w:r>
          </w:p>
        </w:tc>
        <w:tc>
          <w:tcPr>
            <w:tcW w:type="dxa" w:w="2160"/>
          </w:tcPr>
          <w:p>
            <w:r>
              <w:t>训练样本数</w:t>
            </w:r>
          </w:p>
        </w:tc>
        <w:tc>
          <w:tcPr>
            <w:tcW w:type="dxa" w:w="2160"/>
          </w:tcPr>
          <w:p>
            <w:r>
              <w:t>验证样本数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daisy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dandelion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roses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sunflowers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tulips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p>
      <w:r>
        <w:t>图 1 类别分布：</w:t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技术路线</w:t>
      </w:r>
    </w:p>
    <w:p>
      <w:r>
        <w:t>整体流程：数据准备 -&gt; 数据增强 -&gt; 模型训练 -&gt; 验证评估 -&gt; 错误分析 -&gt; 消融对比。</w:t>
      </w:r>
    </w:p>
    <w:p>
      <w:r>
        <w:t>模型结构：ResNet50 backbone + (可选) CBAM + Dropout + 线性分类头。</w:t>
      </w:r>
    </w:p>
    <w:p>
      <w:r>
        <w:t>训练策略：先 head-only，再 finetune；当前快速复现实验采用 1 epoch smoke setting。</w:t>
      </w:r>
    </w:p>
    <w:p>
      <w:pPr>
        <w:pStyle w:val="Heading1"/>
      </w:pPr>
      <w:r>
        <w:t>4. 消融实验设计</w:t>
      </w:r>
    </w:p>
    <w:p>
      <w:r>
        <w:t>为满足课程要求，完成 4 组实验：</w:t>
      </w:r>
    </w:p>
    <w:p>
      <w:pPr>
        <w:pStyle w:val="ListBullet"/>
      </w:pPr>
      <w:r>
        <w:t>ResNet50 baseline：普通迁移学习</w:t>
      </w:r>
    </w:p>
    <w:p>
      <w:pPr>
        <w:pStyle w:val="ListBullet"/>
      </w:pPr>
      <w:r>
        <w:t>ResNet50 + 数据增强：提升泛化</w:t>
      </w:r>
    </w:p>
    <w:p>
      <w:pPr>
        <w:pStyle w:val="ListBullet"/>
      </w:pPr>
      <w:r>
        <w:t>ResNet50 + CBAM：引入注意力机制</w:t>
      </w:r>
    </w:p>
    <w:p>
      <w:pPr>
        <w:pStyle w:val="ListBullet"/>
      </w:pPr>
      <w:r>
        <w:t>ResNet50 + CBAM + MixUp/CutMix：最终模型</w:t>
      </w:r>
    </w:p>
    <w:p>
      <w:pPr>
        <w:pStyle w:val="Heading1"/>
      </w:pPr>
      <w:r>
        <w:t>5. 阶段性结果与最好结果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实验配置</w:t>
            </w:r>
          </w:p>
        </w:tc>
        <w:tc>
          <w:tcPr>
            <w:tcW w:type="dxa" w:w="2160"/>
          </w:tcPr>
          <w:p>
            <w:r>
              <w:t>验证准确率</w:t>
            </w:r>
          </w:p>
        </w:tc>
        <w:tc>
          <w:tcPr>
            <w:tcW w:type="dxa" w:w="2160"/>
          </w:tcPr>
          <w:p>
            <w:r>
              <w:t>验证损失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ResNet50 baseline</w:t>
            </w:r>
          </w:p>
        </w:tc>
        <w:tc>
          <w:tcPr>
            <w:tcW w:type="dxa" w:w="2160"/>
          </w:tcPr>
          <w:p>
            <w:r>
              <w:t>88.67%</w:t>
            </w:r>
          </w:p>
        </w:tc>
        <w:tc>
          <w:tcPr>
            <w:tcW w:type="dxa" w:w="2160"/>
          </w:tcPr>
          <w:p>
            <w:r>
              <w:t>0.3251</w:t>
            </w:r>
          </w:p>
        </w:tc>
        <w:tc>
          <w:tcPr>
            <w:tcW w:type="dxa" w:w="2160"/>
          </w:tcPr>
          <w:p>
            <w:r>
              <w:t>普通迁移学习</w:t>
            </w:r>
          </w:p>
        </w:tc>
      </w:tr>
      <w:tr>
        <w:tc>
          <w:tcPr>
            <w:tcW w:type="dxa" w:w="2160"/>
          </w:tcPr>
          <w:p>
            <w:r>
              <w:t>ResNet50 + 数据增强</w:t>
            </w:r>
          </w:p>
        </w:tc>
        <w:tc>
          <w:tcPr>
            <w:tcW w:type="dxa" w:w="2160"/>
          </w:tcPr>
          <w:p>
            <w:r>
              <w:t>88.00%</w:t>
            </w:r>
          </w:p>
        </w:tc>
        <w:tc>
          <w:tcPr>
            <w:tcW w:type="dxa" w:w="2160"/>
          </w:tcPr>
          <w:p>
            <w:r>
              <w:t>0.3920</w:t>
            </w:r>
          </w:p>
        </w:tc>
        <w:tc>
          <w:tcPr>
            <w:tcW w:type="dxa" w:w="2160"/>
          </w:tcPr>
          <w:p>
            <w:r>
              <w:t>提升泛化</w:t>
            </w:r>
          </w:p>
        </w:tc>
      </w:tr>
      <w:tr>
        <w:tc>
          <w:tcPr>
            <w:tcW w:type="dxa" w:w="2160"/>
          </w:tcPr>
          <w:p>
            <w:r>
              <w:t>ResNet50 + CBAM</w:t>
            </w:r>
          </w:p>
        </w:tc>
        <w:tc>
          <w:tcPr>
            <w:tcW w:type="dxa" w:w="2160"/>
          </w:tcPr>
          <w:p>
            <w:r>
              <w:t>88.00%</w:t>
            </w:r>
          </w:p>
        </w:tc>
        <w:tc>
          <w:tcPr>
            <w:tcW w:type="dxa" w:w="2160"/>
          </w:tcPr>
          <w:p>
            <w:r>
              <w:t>0.4960</w:t>
            </w:r>
          </w:p>
        </w:tc>
        <w:tc>
          <w:tcPr>
            <w:tcW w:type="dxa" w:w="2160"/>
          </w:tcPr>
          <w:p>
            <w:r>
              <w:t>引入注意力机制</w:t>
            </w:r>
          </w:p>
        </w:tc>
      </w:tr>
      <w:tr>
        <w:tc>
          <w:tcPr>
            <w:tcW w:type="dxa" w:w="2160"/>
          </w:tcPr>
          <w:p>
            <w:r>
              <w:t>ResNet50 + CBAM + MixUp/CutMix</w:t>
            </w:r>
          </w:p>
        </w:tc>
        <w:tc>
          <w:tcPr>
            <w:tcW w:type="dxa" w:w="2160"/>
          </w:tcPr>
          <w:p>
            <w:r>
              <w:t>84.00%</w:t>
            </w:r>
          </w:p>
        </w:tc>
        <w:tc>
          <w:tcPr>
            <w:tcW w:type="dxa" w:w="2160"/>
          </w:tcPr>
          <w:p>
            <w:r>
              <w:t>0.8292</w:t>
            </w:r>
          </w:p>
        </w:tc>
        <w:tc>
          <w:tcPr>
            <w:tcW w:type="dxa" w:w="2160"/>
          </w:tcPr>
          <w:p>
            <w:r>
              <w:t>最终模型</w:t>
            </w:r>
          </w:p>
        </w:tc>
      </w:tr>
    </w:tbl>
    <w:p>
      <w:r>
        <w:t>最好结果：ResNet50 baseline，验证准确率 88.67%，验证损失 0.3251。</w:t>
      </w:r>
    </w:p>
    <w:p>
      <w:r>
        <w:t>图 2 baseline 训练曲线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 CBAM 训练曲线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 CBAM+MixUp/CutMix 混淆矩阵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结果分析</w:t>
      </w:r>
    </w:p>
    <w:p>
      <w:r>
        <w:t>在当前 CPU + 单 epoch 快速设置下，baseline 与轻量增强配置表现相近，CBAM 与 CBAM+MixUp/CutMix 未体现优势，主要原因是训练轮次不足、注意力模块与混合增强策略对优化稳定性要求更高。</w:t>
      </w:r>
    </w:p>
    <w:p>
      <w:r>
        <w:t>后续可通过增加 epoch、使用 GPU、调低学习率、提高 warmup 轮数来更公平评估注意力机制收益。</w:t>
      </w:r>
    </w:p>
    <w:p>
      <w:pPr>
        <w:pStyle w:val="Heading1"/>
      </w:pPr>
      <w:r>
        <w:t>7. 课题总结</w:t>
      </w:r>
    </w:p>
    <w:p>
      <w:r>
        <w:t>项目已完成从公开数据下载、预处理、模型训练、消融对比、可视化分析到提交材料生成的完整流程。代码支持自动准备数据集和一键切换消融配置，具备较好的复现性。</w:t>
      </w:r>
    </w:p>
    <w:p>
      <w:pPr>
        <w:pStyle w:val="Heading1"/>
      </w:pPr>
      <w:r>
        <w:t>8. 小组分工（可按实际修改）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工作说明</w:t>
            </w:r>
          </w:p>
        </w:tc>
      </w:tr>
      <w:tr>
        <w:tc>
          <w:tcPr>
            <w:tcW w:type="dxa" w:w="2880"/>
          </w:tcPr>
          <w:p>
            <w:r>
              <w:t>组长</w:t>
            </w:r>
          </w:p>
        </w:tc>
        <w:tc>
          <w:tcPr>
            <w:tcW w:type="dxa" w:w="2880"/>
          </w:tcPr>
          <w:p>
            <w:r>
              <w:t>总体设计与统筹</w:t>
            </w:r>
          </w:p>
        </w:tc>
        <w:tc>
          <w:tcPr>
            <w:tcW w:type="dxa" w:w="2880"/>
          </w:tcPr>
          <w:p>
            <w:r>
              <w:t>把控选题、实验进度与最终答辩</w:t>
            </w:r>
          </w:p>
        </w:tc>
      </w:tr>
      <w:tr>
        <w:tc>
          <w:tcPr>
            <w:tcW w:type="dxa" w:w="2880"/>
          </w:tcPr>
          <w:p>
            <w:r>
              <w:t>组员1</w:t>
            </w:r>
          </w:p>
        </w:tc>
        <w:tc>
          <w:tcPr>
            <w:tcW w:type="dxa" w:w="2880"/>
          </w:tcPr>
          <w:p>
            <w:r>
              <w:t>数据与训练</w:t>
            </w:r>
          </w:p>
        </w:tc>
        <w:tc>
          <w:tcPr>
            <w:tcW w:type="dxa" w:w="2880"/>
          </w:tcPr>
          <w:p>
            <w:r>
              <w:t>数据准备、模型训练与调参</w:t>
            </w:r>
          </w:p>
        </w:tc>
      </w:tr>
      <w:tr>
        <w:tc>
          <w:tcPr>
            <w:tcW w:type="dxa" w:w="2880"/>
          </w:tcPr>
          <w:p>
            <w:r>
              <w:t>组员2</w:t>
            </w:r>
          </w:p>
        </w:tc>
        <w:tc>
          <w:tcPr>
            <w:tcW w:type="dxa" w:w="2880"/>
          </w:tcPr>
          <w:p>
            <w:r>
              <w:t>报告与展示</w:t>
            </w:r>
          </w:p>
        </w:tc>
        <w:tc>
          <w:tcPr>
            <w:tcW w:type="dxa" w:w="2880"/>
          </w:tcPr>
          <w:p>
            <w:r>
              <w:t>实验报告、PPT 与路演讲解</w:t>
            </w:r>
          </w:p>
        </w:tc>
      </w:tr>
    </w:tbl>
    <w:p>
      <w:pPr>
        <w:pStyle w:val="Heading1"/>
      </w:pPr>
      <w:r>
        <w:t>9. 参考文献与数据来源</w:t>
      </w:r>
    </w:p>
    <w:p>
      <w:r>
        <w:t>[1] He et al., Deep Residual Learning for Image Recognition, arXiv:1512.03385.</w:t>
      </w:r>
    </w:p>
    <w:p>
      <w:r>
        <w:t>[2] Woo et al., CBAM: Convolutional Block Attention Module, arXiv:1807.06521.</w:t>
      </w:r>
    </w:p>
    <w:p>
      <w:r>
        <w:t>[3] TensorFlow Datasets: tf_flowers.</w:t>
      </w:r>
    </w:p>
    <w:p>
      <w:r>
        <w:t>[4] Download URL: https://storage.googleapis.com/download.tensorflow.org/example_images/flower_photos.tgz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