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Simpósio 31: Inteligência Artificial e gêneros textuais: interfaces pedagógicas ao sul do Equador Coordenação: Priscila Ligoski e Antonio Marcio da Silva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Ao sul da mediana: inteligência artificial generativa e a hipótese da mediocridade cognitiva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Resumo: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que acontece quando nossa escrita passa a ser mediada por uma distribuição estatística treinada para prever a próxima palavra mais provável?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Os principais modelos de IA generativa são infraestruturas privadas, geridas por um punhado de empresas da Costa Oeste dos Estados Unidos e de polos específicos da China. São redes neurais artificiais treinadas para minimizar uma função de custo que premia a aderência à mediana de uma distribuição estatística (McCOY </w:t>
      </w:r>
      <w:r w:rsidDel="00000000" w:rsidR="00000000" w:rsidRPr="00000000">
        <w:rPr>
          <w:i w:val="1"/>
          <w:iCs w:val="1"/>
          <w:rtl w:val="0"/>
        </w:rPr>
        <w:t xml:space="preserve">et al</w:t>
      </w:r>
      <w:r w:rsidDel="00000000" w:rsidR="00000000" w:rsidRPr="00000000">
        <w:rPr>
          <w:rtl w:val="0"/>
        </w:rPr>
        <w:t xml:space="preserve">., 2024). Essa mediana vem de um corpus majoritariamente anglófono, branco e norte-atlântico, onde o inglês ocupa proporção próxima a 90% dos dados de treinamento (o português do Brasil corresponde a menos de 2%). Mesmo após ajuste fino e alinhamento por feedback humano, esses modelos seguem incorporando nuances culturais, éticas e estilísticas (KIRK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2024; TAO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2024).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Ao penalizar a baixa probabilidade, essas arquiteturas penalizam também léxicos, sintaxes, estilos e raciocínios que fogem da norma dominante, produzindo uma tendência à homogeneização do discurso (DOSHI; HAUSER, 2024). Na produção textual, a identidade de cada autor se dá pela reiteração de um viés sistemático próprio. A escrita sem desvio é uma escrita sem voz. Mas para além das questões de estilo, essas ferramentas são usadas para mediar a pesquisa científica, sumarizar obras, apoiar tarefas executivas e de planejamento, escrever código, e até mesmo operar computadores e robôs.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Ao longo da história, as inovações que instauraram novos paradigmas foram obras de indivíduos ou pequenos grupos que insistiram em pontos de vista improváveis, a despeito da pressão conformadora da comunidade. Darwin formulou a seleção natural num ambiente vitoriano de hegemonia criacionista; Einstein, em 1905, sustentou que o tempo não era absoluto num mundo em que a mecânica newtoniana explicava com precisão surpreendente a vasta maioria dos fenômenos observáveis.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É verdade que a humanidade demonstrou, repetidas vezes, capacidade de acomodar novas tecnologias da comunicação, mas cada acomodação impôs perdas que só se tornaram visíveis décadas depois (SHUMAILOV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2024). Ao </w:t>
      </w:r>
      <w:r w:rsidDel="00000000" w:rsidR="00000000" w:rsidRPr="00000000">
        <w:rPr>
          <w:rtl w:val="0"/>
        </w:rPr>
        <w:t xml:space="preserve">delegarmos</w:t>
      </w:r>
      <w:r w:rsidDel="00000000" w:rsidR="00000000" w:rsidRPr="00000000">
        <w:rPr>
          <w:rtl w:val="0"/>
        </w:rPr>
        <w:t xml:space="preserve"> a esses sistemas parcelas cada vez maiores do trabalho com a palavra, sem perceber, acabamos criando uma relação de dependência cognitiva que terceiriza a leitura, a síntese, a escrita para uma tecnologia que pune o improvável, erode a autoria singular e, em última instância, nos leva na direção de uma mediocridade cognitiva.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trabalho propõe uma reflexão sobre esse fenômeno.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