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D2348" w:rsidR="00AD2348" w:rsidP="00AD2348" w:rsidRDefault="00AD2348" w14:paraId="444C4365" w14:textId="55BDCC7C">
      <w:pPr>
        <w:rPr>
          <w:b w:val="1"/>
          <w:bCs w:val="1"/>
          <w:lang w:val="fr-CA"/>
        </w:rPr>
      </w:pPr>
      <w:r w:rsidRPr="7B50A992" w:rsidR="00AD2348">
        <w:rPr>
          <w:b w:val="1"/>
          <w:bCs w:val="1"/>
          <w:lang w:val="fr-CA"/>
        </w:rPr>
        <w:t xml:space="preserve">1. Analyse </w:t>
      </w:r>
      <w:r w:rsidRPr="7B50A992" w:rsidR="00B924BB">
        <w:rPr>
          <w:b w:val="1"/>
          <w:bCs w:val="1"/>
          <w:lang w:val="fr-CA"/>
        </w:rPr>
        <w:t xml:space="preserve">descriptive </w:t>
      </w:r>
    </w:p>
    <w:p w:rsidRPr="00AD2348" w:rsidR="00AD2348" w:rsidP="00AD2348" w:rsidRDefault="00AD2348" w14:paraId="3CC25508" w14:textId="77777777">
      <w:pPr>
        <w:rPr>
          <w:b/>
          <w:bCs/>
          <w:lang w:val="fr-CA"/>
        </w:rPr>
      </w:pPr>
      <w:r w:rsidRPr="00AD2348">
        <w:rPr>
          <w:b/>
          <w:bCs/>
          <w:lang w:val="fr-CA"/>
        </w:rPr>
        <w:t>a. Rentabilité des projets</w:t>
      </w:r>
    </w:p>
    <w:p w:rsidRPr="00AD2348" w:rsidR="00AD2348" w:rsidP="00AD2348" w:rsidRDefault="00AD2348" w14:paraId="0644D77F" w14:textId="77777777">
      <w:pPr>
        <w:numPr>
          <w:ilvl w:val="0"/>
          <w:numId w:val="1"/>
        </w:numPr>
        <w:rPr>
          <w:lang w:val="fr-CA"/>
        </w:rPr>
      </w:pPr>
      <w:r w:rsidRPr="00AD2348">
        <w:rPr>
          <w:lang w:val="fr-CA"/>
        </w:rPr>
        <w:t xml:space="preserve">Le graphique </w:t>
      </w:r>
      <w:r w:rsidRPr="00AD2348">
        <w:rPr>
          <w:i/>
          <w:iCs/>
          <w:lang w:val="fr-CA"/>
        </w:rPr>
        <w:t>Marge moyenne par heure par phase projet</w:t>
      </w:r>
      <w:r w:rsidRPr="00AD2348">
        <w:rPr>
          <w:lang w:val="fr-CA"/>
        </w:rPr>
        <w:t xml:space="preserve"> met en évidence une </w:t>
      </w:r>
      <w:r w:rsidRPr="00AD2348">
        <w:rPr>
          <w:b/>
          <w:bCs/>
          <w:lang w:val="fr-CA"/>
        </w:rPr>
        <w:t>forte disparité entre les projets</w:t>
      </w:r>
      <w:r w:rsidRPr="00AD2348">
        <w:rPr>
          <w:lang w:val="fr-CA"/>
        </w:rPr>
        <w:t xml:space="preserve"> :</w:t>
      </w:r>
    </w:p>
    <w:p w:rsidRPr="00AD2348" w:rsidR="00AD2348" w:rsidP="00AD2348" w:rsidRDefault="00AD2348" w14:paraId="1A0BD079" w14:textId="77777777">
      <w:pPr>
        <w:numPr>
          <w:ilvl w:val="1"/>
          <w:numId w:val="1"/>
        </w:numPr>
        <w:rPr>
          <w:lang w:val="fr-CA"/>
        </w:rPr>
      </w:pPr>
      <w:proofErr w:type="spellStart"/>
      <w:r w:rsidRPr="00AD2348">
        <w:rPr>
          <w:b/>
          <w:bCs/>
          <w:lang w:val="fr-CA"/>
        </w:rPr>
        <w:t>Neptune_Solaris</w:t>
      </w:r>
      <w:proofErr w:type="spellEnd"/>
      <w:r w:rsidRPr="00AD2348">
        <w:rPr>
          <w:lang w:val="fr-CA"/>
        </w:rPr>
        <w:t xml:space="preserve"> affiche une </w:t>
      </w:r>
      <w:r w:rsidRPr="00AD2348">
        <w:rPr>
          <w:b/>
          <w:bCs/>
          <w:lang w:val="fr-CA"/>
        </w:rPr>
        <w:t>marge négative de près de -$1000/h</w:t>
      </w:r>
      <w:r w:rsidRPr="00AD2348">
        <w:rPr>
          <w:lang w:val="fr-CA"/>
        </w:rPr>
        <w:t>, signalant un projet très déficitaire.</w:t>
      </w:r>
    </w:p>
    <w:p w:rsidRPr="00AD2348" w:rsidR="00AD2348" w:rsidP="00AD2348" w:rsidRDefault="00AD2348" w14:paraId="52496150" w14:textId="77777777">
      <w:pPr>
        <w:numPr>
          <w:ilvl w:val="1"/>
          <w:numId w:val="1"/>
        </w:numPr>
        <w:rPr>
          <w:lang w:val="fr-CA"/>
        </w:rPr>
      </w:pPr>
      <w:r w:rsidRPr="00AD2348">
        <w:rPr>
          <w:lang w:val="fr-CA"/>
        </w:rPr>
        <w:t xml:space="preserve">À l’inverse, </w:t>
      </w:r>
      <w:proofErr w:type="spellStart"/>
      <w:r w:rsidRPr="00AD2348">
        <w:rPr>
          <w:b/>
          <w:bCs/>
          <w:lang w:val="fr-CA"/>
        </w:rPr>
        <w:t>Neptune_Horizon</w:t>
      </w:r>
      <w:proofErr w:type="spellEnd"/>
      <w:r w:rsidRPr="00AD2348">
        <w:rPr>
          <w:b/>
          <w:bCs/>
          <w:lang w:val="fr-CA"/>
        </w:rPr>
        <w:t xml:space="preserve">, </w:t>
      </w:r>
      <w:proofErr w:type="spellStart"/>
      <w:r w:rsidRPr="00AD2348">
        <w:rPr>
          <w:b/>
          <w:bCs/>
          <w:lang w:val="fr-CA"/>
        </w:rPr>
        <w:t>Neptune_Aquilon</w:t>
      </w:r>
      <w:proofErr w:type="spellEnd"/>
      <w:r w:rsidRPr="00AD2348">
        <w:rPr>
          <w:lang w:val="fr-CA"/>
        </w:rPr>
        <w:t xml:space="preserve"> ou encore </w:t>
      </w:r>
      <w:proofErr w:type="spellStart"/>
      <w:r w:rsidRPr="00AD2348">
        <w:rPr>
          <w:b/>
          <w:bCs/>
          <w:lang w:val="fr-CA"/>
        </w:rPr>
        <w:t>Ventus_Orientation</w:t>
      </w:r>
      <w:proofErr w:type="spellEnd"/>
      <w:r w:rsidRPr="00AD2348">
        <w:rPr>
          <w:lang w:val="fr-CA"/>
        </w:rPr>
        <w:t xml:space="preserve"> génèrent une </w:t>
      </w:r>
      <w:r w:rsidRPr="00AD2348">
        <w:rPr>
          <w:b/>
          <w:bCs/>
          <w:lang w:val="fr-CA"/>
        </w:rPr>
        <w:t>marge horaire élevée (&gt; $200/h)</w:t>
      </w:r>
      <w:r w:rsidRPr="00AD2348">
        <w:rPr>
          <w:lang w:val="fr-CA"/>
        </w:rPr>
        <w:t>.</w:t>
      </w:r>
    </w:p>
    <w:p w:rsidRPr="00AD2348" w:rsidR="00AD2348" w:rsidP="00AD2348" w:rsidRDefault="00AD2348" w14:paraId="64270C1B" w14:textId="77777777">
      <w:pPr>
        <w:numPr>
          <w:ilvl w:val="0"/>
          <w:numId w:val="1"/>
        </w:numPr>
        <w:rPr>
          <w:lang w:val="fr-CA"/>
        </w:rPr>
      </w:pPr>
      <w:r w:rsidRPr="00AD2348">
        <w:rPr>
          <w:lang w:val="fr-CA"/>
        </w:rPr>
        <w:t xml:space="preserve">Cela est </w:t>
      </w:r>
      <w:r w:rsidRPr="00AD2348">
        <w:rPr>
          <w:b/>
          <w:bCs/>
          <w:lang w:val="fr-CA"/>
        </w:rPr>
        <w:t>corrélé au % de dépassement budgétaire</w:t>
      </w:r>
      <w:r w:rsidRPr="00AD2348">
        <w:rPr>
          <w:lang w:val="fr-CA"/>
        </w:rPr>
        <w:t xml:space="preserve"> : certains projets comme </w:t>
      </w:r>
      <w:proofErr w:type="spellStart"/>
      <w:r w:rsidRPr="00AD2348">
        <w:rPr>
          <w:i/>
          <w:iCs/>
          <w:lang w:val="fr-CA"/>
        </w:rPr>
        <w:t>Neptune_Solaris</w:t>
      </w:r>
      <w:proofErr w:type="spellEnd"/>
      <w:r w:rsidRPr="00AD2348">
        <w:rPr>
          <w:lang w:val="fr-CA"/>
        </w:rPr>
        <w:t xml:space="preserve"> ou </w:t>
      </w:r>
      <w:proofErr w:type="spellStart"/>
      <w:r w:rsidRPr="00AD2348">
        <w:rPr>
          <w:i/>
          <w:iCs/>
          <w:lang w:val="fr-CA"/>
        </w:rPr>
        <w:t>Flora_Gestion</w:t>
      </w:r>
      <w:proofErr w:type="spellEnd"/>
      <w:r w:rsidRPr="00AD2348">
        <w:rPr>
          <w:lang w:val="fr-CA"/>
        </w:rPr>
        <w:t xml:space="preserve"> présentent un dépassement très important, ce qui impacte directement la rentabilité globale.</w:t>
      </w:r>
    </w:p>
    <w:p w:rsidRPr="00AD2348" w:rsidR="00AD2348" w:rsidP="00AD2348" w:rsidRDefault="00AD2348" w14:paraId="4908640A" w14:textId="77777777">
      <w:pPr>
        <w:rPr>
          <w:b/>
          <w:bCs/>
        </w:rPr>
      </w:pPr>
      <w:r w:rsidRPr="00AD2348">
        <w:rPr>
          <w:b/>
          <w:bCs/>
        </w:rPr>
        <w:t>b. Gestion du Bench</w:t>
      </w:r>
    </w:p>
    <w:p w:rsidRPr="00AD2348" w:rsidR="00AD2348" w:rsidP="00AD2348" w:rsidRDefault="00AD2348" w14:paraId="61F2B39D" w14:textId="77777777">
      <w:pPr>
        <w:numPr>
          <w:ilvl w:val="0"/>
          <w:numId w:val="2"/>
        </w:numPr>
        <w:rPr>
          <w:lang w:val="fr-CA"/>
        </w:rPr>
      </w:pPr>
      <w:r w:rsidRPr="00AD2348">
        <w:rPr>
          <w:lang w:val="fr-CA"/>
        </w:rPr>
        <w:t xml:space="preserve">Le </w:t>
      </w:r>
      <w:r w:rsidRPr="00AD2348">
        <w:rPr>
          <w:b/>
          <w:bCs/>
          <w:lang w:val="fr-CA"/>
        </w:rPr>
        <w:t>Bench Rate</w:t>
      </w:r>
      <w:r w:rsidRPr="00AD2348">
        <w:rPr>
          <w:lang w:val="fr-CA"/>
        </w:rPr>
        <w:t xml:space="preserve"> (consultants non affectés) est globalement élevé, culminant à </w:t>
      </w:r>
      <w:r w:rsidRPr="00AD2348">
        <w:rPr>
          <w:b/>
          <w:bCs/>
          <w:lang w:val="fr-CA"/>
        </w:rPr>
        <w:t>plus de 60% début janvier</w:t>
      </w:r>
      <w:r w:rsidRPr="00AD2348">
        <w:rPr>
          <w:lang w:val="fr-CA"/>
        </w:rPr>
        <w:t xml:space="preserve">, avant une baisse progressive jusqu’à </w:t>
      </w:r>
      <w:r w:rsidRPr="00AD2348">
        <w:rPr>
          <w:b/>
          <w:bCs/>
          <w:lang w:val="fr-CA"/>
        </w:rPr>
        <w:t>23% début mars</w:t>
      </w:r>
      <w:r w:rsidRPr="00AD2348">
        <w:rPr>
          <w:lang w:val="fr-CA"/>
        </w:rPr>
        <w:t>.</w:t>
      </w:r>
    </w:p>
    <w:p w:rsidRPr="00AD2348" w:rsidR="00AD2348" w:rsidP="00AD2348" w:rsidRDefault="00AD2348" w14:paraId="36E18206" w14:textId="77777777">
      <w:pPr>
        <w:numPr>
          <w:ilvl w:val="0"/>
          <w:numId w:val="2"/>
        </w:numPr>
        <w:rPr>
          <w:lang w:val="fr-CA"/>
        </w:rPr>
      </w:pPr>
      <w:r w:rsidRPr="00AD2348">
        <w:rPr>
          <w:lang w:val="fr-CA"/>
        </w:rPr>
        <w:t xml:space="preserve">Parallèlement, </w:t>
      </w:r>
      <w:r w:rsidRPr="00AD2348">
        <w:rPr>
          <w:b/>
          <w:bCs/>
          <w:lang w:val="fr-CA"/>
        </w:rPr>
        <w:t>le taux d’utilisation reste inférieur à 50%</w:t>
      </w:r>
      <w:r w:rsidRPr="00AD2348">
        <w:rPr>
          <w:lang w:val="fr-CA"/>
        </w:rPr>
        <w:t xml:space="preserve"> pendant une large période, illustrant un </w:t>
      </w:r>
      <w:r w:rsidRPr="00AD2348">
        <w:rPr>
          <w:b/>
          <w:bCs/>
          <w:lang w:val="fr-CA"/>
        </w:rPr>
        <w:t>sous-emploi généralisé</w:t>
      </w:r>
      <w:r w:rsidRPr="00AD2348">
        <w:rPr>
          <w:lang w:val="fr-CA"/>
        </w:rPr>
        <w:t xml:space="preserve"> des ressources.</w:t>
      </w:r>
    </w:p>
    <w:p w:rsidRPr="00AD2348" w:rsidR="00AD2348" w:rsidP="00AD2348" w:rsidRDefault="00AD2348" w14:paraId="044600EB" w14:textId="77777777">
      <w:pPr>
        <w:rPr>
          <w:b/>
          <w:bCs/>
          <w:lang w:val="fr-CA"/>
        </w:rPr>
      </w:pPr>
      <w:r w:rsidRPr="00AD2348">
        <w:rPr>
          <w:b/>
          <w:bCs/>
          <w:lang w:val="fr-CA"/>
        </w:rPr>
        <w:t>c. Marge par type de consultant</w:t>
      </w:r>
    </w:p>
    <w:p w:rsidRPr="00AD2348" w:rsidR="00AD2348" w:rsidP="00AD2348" w:rsidRDefault="00AD2348" w14:paraId="0C9DD798" w14:textId="77777777">
      <w:pPr>
        <w:numPr>
          <w:ilvl w:val="0"/>
          <w:numId w:val="3"/>
        </w:numPr>
      </w:pPr>
      <w:r w:rsidRPr="00AD2348">
        <w:t xml:space="preserve">Le </w:t>
      </w:r>
      <w:proofErr w:type="spellStart"/>
      <w:r w:rsidRPr="00AD2348">
        <w:t>graphique</w:t>
      </w:r>
      <w:proofErr w:type="spellEnd"/>
      <w:r w:rsidRPr="00AD2348">
        <w:t xml:space="preserve"> montre </w:t>
      </w:r>
      <w:proofErr w:type="gramStart"/>
      <w:r w:rsidRPr="00AD2348">
        <w:t>que :</w:t>
      </w:r>
      <w:proofErr w:type="gramEnd"/>
    </w:p>
    <w:p w:rsidRPr="00AD2348" w:rsidR="00AD2348" w:rsidP="00AD2348" w:rsidRDefault="00AD2348" w14:paraId="1E6499BE" w14:textId="77777777">
      <w:pPr>
        <w:numPr>
          <w:ilvl w:val="1"/>
          <w:numId w:val="3"/>
        </w:numPr>
        <w:rPr>
          <w:lang w:val="fr-CA"/>
        </w:rPr>
      </w:pPr>
      <w:r w:rsidRPr="00AD2348">
        <w:rPr>
          <w:lang w:val="fr-CA"/>
        </w:rPr>
        <w:t xml:space="preserve">Les </w:t>
      </w:r>
      <w:r w:rsidRPr="00AD2348">
        <w:rPr>
          <w:b/>
          <w:bCs/>
          <w:lang w:val="fr-CA"/>
        </w:rPr>
        <w:t>consultants internes</w:t>
      </w:r>
      <w:r w:rsidRPr="00AD2348">
        <w:rPr>
          <w:lang w:val="fr-CA"/>
        </w:rPr>
        <w:t xml:space="preserve"> ont une </w:t>
      </w:r>
      <w:r w:rsidRPr="00AD2348">
        <w:rPr>
          <w:b/>
          <w:bCs/>
          <w:lang w:val="fr-CA"/>
        </w:rPr>
        <w:t>marge positive importante (+$217/h)</w:t>
      </w:r>
      <w:r w:rsidRPr="00AD2348">
        <w:rPr>
          <w:lang w:val="fr-CA"/>
        </w:rPr>
        <w:t>.</w:t>
      </w:r>
    </w:p>
    <w:p w:rsidRPr="00AD2348" w:rsidR="00AD2348" w:rsidP="00AD2348" w:rsidRDefault="00AD2348" w14:paraId="146AD85B" w14:textId="77777777">
      <w:pPr>
        <w:numPr>
          <w:ilvl w:val="1"/>
          <w:numId w:val="3"/>
        </w:numPr>
        <w:rPr>
          <w:lang w:val="fr-CA"/>
        </w:rPr>
      </w:pPr>
      <w:r w:rsidRPr="00AD2348">
        <w:rPr>
          <w:lang w:val="fr-CA"/>
        </w:rPr>
        <w:t xml:space="preserve">Les </w:t>
      </w:r>
      <w:r w:rsidRPr="00AD2348">
        <w:rPr>
          <w:b/>
          <w:bCs/>
          <w:lang w:val="fr-CA"/>
        </w:rPr>
        <w:t>consultants externes</w:t>
      </w:r>
      <w:r w:rsidRPr="00AD2348">
        <w:rPr>
          <w:lang w:val="fr-CA"/>
        </w:rPr>
        <w:t xml:space="preserve"> affichent une </w:t>
      </w:r>
      <w:r w:rsidRPr="00AD2348">
        <w:rPr>
          <w:b/>
          <w:bCs/>
          <w:lang w:val="fr-CA"/>
        </w:rPr>
        <w:t>marge négative (environ -$300/h)</w:t>
      </w:r>
      <w:r w:rsidRPr="00AD2348">
        <w:rPr>
          <w:lang w:val="fr-CA"/>
        </w:rPr>
        <w:t>, ce qui tire la rentabilité vers le bas.</w:t>
      </w:r>
    </w:p>
    <w:p w:rsidRPr="00AD2348" w:rsidR="00AD2348" w:rsidP="00AD2348" w:rsidRDefault="00AD2348" w14:paraId="61FAD5BA" w14:textId="77777777">
      <w:pPr>
        <w:numPr>
          <w:ilvl w:val="1"/>
          <w:numId w:val="3"/>
        </w:numPr>
        <w:rPr>
          <w:lang w:val="fr-CA"/>
        </w:rPr>
      </w:pPr>
      <w:r w:rsidRPr="00AD2348">
        <w:rPr>
          <w:lang w:val="fr-CA"/>
        </w:rPr>
        <w:t xml:space="preserve">La répartition montre une </w:t>
      </w:r>
      <w:r w:rsidRPr="00AD2348">
        <w:rPr>
          <w:b/>
          <w:bCs/>
          <w:lang w:val="fr-CA"/>
        </w:rPr>
        <w:t>majorité de consultants externes (13 sur 15)</w:t>
      </w:r>
      <w:r w:rsidRPr="00AD2348">
        <w:rPr>
          <w:lang w:val="fr-CA"/>
        </w:rPr>
        <w:t>, ce qui alourdit les coûts fixes.</w:t>
      </w:r>
    </w:p>
    <w:p w:rsidRPr="00AD2348" w:rsidR="00AD2348" w:rsidP="00AD2348" w:rsidRDefault="00AD2348" w14:paraId="6EE62306" w14:textId="77777777">
      <w:pPr>
        <w:rPr>
          <w:b/>
          <w:bCs/>
          <w:lang w:val="fr-CA"/>
        </w:rPr>
      </w:pPr>
      <w:r w:rsidRPr="00AD2348">
        <w:rPr>
          <w:b/>
          <w:bCs/>
          <w:lang w:val="fr-CA"/>
        </w:rPr>
        <w:t xml:space="preserve">d. Prévision et fiabilité du </w:t>
      </w:r>
      <w:proofErr w:type="spellStart"/>
      <w:r w:rsidRPr="00AD2348">
        <w:rPr>
          <w:b/>
          <w:bCs/>
          <w:lang w:val="fr-CA"/>
        </w:rPr>
        <w:t>staffing</w:t>
      </w:r>
      <w:proofErr w:type="spellEnd"/>
    </w:p>
    <w:p w:rsidRPr="00AD2348" w:rsidR="00AD2348" w:rsidP="00AD2348" w:rsidRDefault="00AD2348" w14:paraId="0DDA90F3" w14:textId="77777777">
      <w:pPr>
        <w:numPr>
          <w:ilvl w:val="0"/>
          <w:numId w:val="4"/>
        </w:numPr>
      </w:pPr>
      <w:r w:rsidRPr="00AD2348">
        <w:rPr>
          <w:lang w:val="fr-CA"/>
        </w:rPr>
        <w:t xml:space="preserve">Le </w:t>
      </w:r>
      <w:r w:rsidRPr="00AD2348">
        <w:rPr>
          <w:b/>
          <w:bCs/>
          <w:lang w:val="fr-CA"/>
        </w:rPr>
        <w:t>RMSE global de la prévision est de 21.16</w:t>
      </w:r>
      <w:r w:rsidRPr="00AD2348">
        <w:rPr>
          <w:lang w:val="fr-CA"/>
        </w:rPr>
        <w:t xml:space="preserve">, ce qui reste </w:t>
      </w:r>
      <w:r w:rsidRPr="00AD2348">
        <w:rPr>
          <w:b/>
          <w:bCs/>
          <w:lang w:val="fr-CA"/>
        </w:rPr>
        <w:t>acceptable</w:t>
      </w:r>
      <w:r w:rsidRPr="00AD2348">
        <w:rPr>
          <w:lang w:val="fr-CA"/>
        </w:rPr>
        <w:t xml:space="preserve">, mais certains niveaux hiérarchiques (ex. </w:t>
      </w:r>
      <w:r w:rsidRPr="00AD2348">
        <w:rPr>
          <w:i/>
          <w:iCs/>
        </w:rPr>
        <w:t>STAFF ACCOUNTANT</w:t>
      </w:r>
      <w:r w:rsidRPr="00AD2348">
        <w:t xml:space="preserve">) </w:t>
      </w:r>
      <w:proofErr w:type="spellStart"/>
      <w:r w:rsidRPr="00AD2348">
        <w:t>ont</w:t>
      </w:r>
      <w:proofErr w:type="spellEnd"/>
      <w:r w:rsidRPr="00AD2348">
        <w:t xml:space="preserve"> </w:t>
      </w:r>
      <w:proofErr w:type="spellStart"/>
      <w:r w:rsidRPr="00AD2348">
        <w:t>une</w:t>
      </w:r>
      <w:proofErr w:type="spellEnd"/>
      <w:r w:rsidRPr="00AD2348">
        <w:t xml:space="preserve"> </w:t>
      </w:r>
      <w:proofErr w:type="spellStart"/>
      <w:r w:rsidRPr="00AD2348">
        <w:rPr>
          <w:b/>
          <w:bCs/>
        </w:rPr>
        <w:t>erreur</w:t>
      </w:r>
      <w:proofErr w:type="spellEnd"/>
      <w:r w:rsidRPr="00AD2348">
        <w:rPr>
          <w:b/>
          <w:bCs/>
        </w:rPr>
        <w:t xml:space="preserve"> plus </w:t>
      </w:r>
      <w:proofErr w:type="spellStart"/>
      <w:r w:rsidRPr="00AD2348">
        <w:rPr>
          <w:b/>
          <w:bCs/>
        </w:rPr>
        <w:t>élevée</w:t>
      </w:r>
      <w:proofErr w:type="spellEnd"/>
      <w:r w:rsidRPr="00AD2348">
        <w:rPr>
          <w:b/>
          <w:bCs/>
        </w:rPr>
        <w:t xml:space="preserve"> (&gt; 22)</w:t>
      </w:r>
      <w:r w:rsidRPr="00AD2348">
        <w:t>.</w:t>
      </w:r>
    </w:p>
    <w:p w:rsidRPr="00AD2348" w:rsidR="00AD2348" w:rsidP="00AD2348" w:rsidRDefault="00AD2348" w14:paraId="14F75FD2" w14:textId="77777777">
      <w:pPr>
        <w:numPr>
          <w:ilvl w:val="0"/>
          <w:numId w:val="4"/>
        </w:numPr>
        <w:rPr>
          <w:lang w:val="fr-CA"/>
        </w:rPr>
      </w:pPr>
      <w:r w:rsidRPr="00AD2348">
        <w:rPr>
          <w:lang w:val="fr-CA"/>
        </w:rPr>
        <w:t xml:space="preserve">L’écart entre </w:t>
      </w:r>
      <w:r w:rsidRPr="00AD2348">
        <w:rPr>
          <w:b/>
          <w:bCs/>
          <w:lang w:val="fr-CA"/>
        </w:rPr>
        <w:t>heures prévues et heures réelles</w:t>
      </w:r>
      <w:r w:rsidRPr="00AD2348">
        <w:rPr>
          <w:lang w:val="fr-CA"/>
        </w:rPr>
        <w:t xml:space="preserve"> est parfois significatif, notamment en février 2025.</w:t>
      </w:r>
    </w:p>
    <w:p w:rsidRPr="00AD2348" w:rsidR="00AD2348" w:rsidP="00AD2348" w:rsidRDefault="00AD2348" w14:paraId="7123AED6" w14:textId="77777777">
      <w:pPr>
        <w:rPr>
          <w:b/>
          <w:bCs/>
        </w:rPr>
      </w:pPr>
      <w:r w:rsidRPr="00AD2348">
        <w:rPr>
          <w:b/>
          <w:bCs/>
        </w:rPr>
        <w:t>e. Résumé KPI</w:t>
      </w:r>
    </w:p>
    <w:p w:rsidRPr="00AD2348" w:rsidR="00AD2348" w:rsidP="00AD2348" w:rsidRDefault="00AD2348" w14:paraId="00F746C0" w14:textId="77777777">
      <w:pPr>
        <w:numPr>
          <w:ilvl w:val="0"/>
          <w:numId w:val="5"/>
        </w:numPr>
      </w:pPr>
      <w:r w:rsidRPr="00AD2348">
        <w:rPr>
          <w:b/>
          <w:bCs/>
        </w:rPr>
        <w:lastRenderedPageBreak/>
        <w:t>Utilization Rate (%</w:t>
      </w:r>
      <w:proofErr w:type="gramStart"/>
      <w:r w:rsidRPr="00AD2348">
        <w:rPr>
          <w:b/>
          <w:bCs/>
        </w:rPr>
        <w:t>) :</w:t>
      </w:r>
      <w:proofErr w:type="gramEnd"/>
      <w:r w:rsidRPr="00AD2348">
        <w:rPr>
          <w:b/>
          <w:bCs/>
        </w:rPr>
        <w:t xml:space="preserve"> 43.36%</w:t>
      </w:r>
      <w:r w:rsidRPr="00AD2348">
        <w:t xml:space="preserve"> (</w:t>
      </w:r>
      <w:proofErr w:type="spellStart"/>
      <w:r w:rsidRPr="00AD2348">
        <w:t>insuffisant</w:t>
      </w:r>
      <w:proofErr w:type="spellEnd"/>
      <w:r w:rsidRPr="00AD2348">
        <w:t>)</w:t>
      </w:r>
    </w:p>
    <w:p w:rsidR="00AD2348" w:rsidP="00AD2348" w:rsidRDefault="00AD2348" w14:paraId="2961E2BB" w14:textId="7CC333F2">
      <w:pPr>
        <w:numPr>
          <w:ilvl w:val="0"/>
          <w:numId w:val="5"/>
        </w:numPr>
        <w:rPr>
          <w:lang w:val="fr-CA"/>
        </w:rPr>
      </w:pPr>
      <w:r w:rsidRPr="00AD2348">
        <w:rPr>
          <w:b/>
          <w:bCs/>
          <w:lang w:val="fr-CA"/>
        </w:rPr>
        <w:t>Marge moyenne par heure : $1</w:t>
      </w:r>
      <w:r>
        <w:rPr>
          <w:b/>
          <w:bCs/>
          <w:lang w:val="fr-CA"/>
        </w:rPr>
        <w:t>22</w:t>
      </w:r>
      <w:r w:rsidRPr="00AD2348">
        <w:rPr>
          <w:b/>
          <w:bCs/>
          <w:lang w:val="fr-CA"/>
        </w:rPr>
        <w:t>.0</w:t>
      </w:r>
      <w:r>
        <w:rPr>
          <w:b/>
          <w:bCs/>
          <w:lang w:val="fr-CA"/>
        </w:rPr>
        <w:t>6</w:t>
      </w:r>
      <w:r w:rsidRPr="00AD2348">
        <w:rPr>
          <w:lang w:val="fr-CA"/>
        </w:rPr>
        <w:t xml:space="preserve"> (correct mais tirée par les internes)</w:t>
      </w:r>
    </w:p>
    <w:p w:rsidRPr="00AD2348" w:rsidR="00AD2348" w:rsidP="00AD2348" w:rsidRDefault="00AD2348" w14:paraId="6F97C3B4" w14:textId="22F6F7D9">
      <w:pPr>
        <w:numPr>
          <w:ilvl w:val="0"/>
          <w:numId w:val="5"/>
        </w:numPr>
        <w:rPr>
          <w:lang w:val="fr-CA"/>
        </w:rPr>
      </w:pPr>
      <w:proofErr w:type="spellStart"/>
      <w:r>
        <w:t>E</w:t>
      </w:r>
      <w:r w:rsidRPr="00AD2348">
        <w:t>rreur</w:t>
      </w:r>
      <w:proofErr w:type="spellEnd"/>
      <w:r w:rsidRPr="00AD2348">
        <w:t xml:space="preserve"> de planification</w:t>
      </w:r>
    </w:p>
    <w:p w:rsidRPr="00AD2348" w:rsidR="00AD2348" w:rsidP="00AD2348" w:rsidRDefault="00AD2348" w14:paraId="2B43F581" w14:textId="67ACCE69">
      <w:pPr>
        <w:numPr>
          <w:ilvl w:val="0"/>
          <w:numId w:val="5"/>
        </w:numPr>
      </w:pPr>
      <w:r w:rsidRPr="00AD2348">
        <w:rPr>
          <w:b/>
          <w:bCs/>
        </w:rPr>
        <w:t xml:space="preserve">Bench </w:t>
      </w:r>
      <w:proofErr w:type="gramStart"/>
      <w:r w:rsidRPr="00AD2348">
        <w:rPr>
          <w:b/>
          <w:bCs/>
        </w:rPr>
        <w:t>Flag :</w:t>
      </w:r>
      <w:proofErr w:type="gramEnd"/>
      <w:r w:rsidRPr="00AD2348">
        <w:rPr>
          <w:b/>
          <w:bCs/>
        </w:rPr>
        <w:t xml:space="preserve"> Critique </w:t>
      </w:r>
    </w:p>
    <w:p w:rsidRPr="00AD2348" w:rsidR="00AD2348" w:rsidP="00AD2348" w:rsidRDefault="00AD2348" w14:paraId="692E2579" w14:textId="77777777">
      <w:r w:rsidRPr="00AD2348">
        <w:pict w14:anchorId="3FC00352">
          <v:rect id="_x0000_i1031" style="width:0;height:1.5pt" o:hr="t" o:hrstd="t" o:hralign="center" fillcolor="#a0a0a0" stroked="f"/>
        </w:pict>
      </w:r>
    </w:p>
    <w:p w:rsidRPr="00AD2348" w:rsidR="00AD2348" w:rsidP="00AD2348" w:rsidRDefault="00AD2348" w14:paraId="2A607FB8" w14:textId="14647C60">
      <w:pPr>
        <w:rPr>
          <w:b w:val="1"/>
          <w:bCs w:val="1"/>
          <w:lang w:val="fr-CA"/>
        </w:rPr>
      </w:pPr>
      <w:r w:rsidRPr="7B50A992" w:rsidR="00AD2348">
        <w:rPr>
          <w:b w:val="1"/>
          <w:bCs w:val="1"/>
          <w:lang w:val="fr-CA"/>
        </w:rPr>
        <w:t xml:space="preserve">2. Recommandations d’affaires </w:t>
      </w:r>
    </w:p>
    <w:p w:rsidRPr="00AD2348" w:rsidR="00AD2348" w:rsidP="00AD2348" w:rsidRDefault="00AD2348" w14:paraId="53106F17" w14:textId="50418FE1">
      <w:pPr>
        <w:rPr>
          <w:b w:val="1"/>
          <w:bCs w:val="1"/>
          <w:lang w:val="fr-CA"/>
        </w:rPr>
      </w:pPr>
      <w:r w:rsidRPr="7B50A992" w:rsidR="00AD2348">
        <w:rPr>
          <w:b w:val="1"/>
          <w:bCs w:val="1"/>
          <w:lang w:val="fr-CA"/>
        </w:rPr>
        <w:t>A. Rentabilité des projets</w:t>
      </w:r>
    </w:p>
    <w:p w:rsidRPr="00AD2348" w:rsidR="00AD2348" w:rsidP="00AD2348" w:rsidRDefault="00AD2348" w14:paraId="38829681" w14:textId="77777777">
      <w:pPr>
        <w:numPr>
          <w:ilvl w:val="0"/>
          <w:numId w:val="6"/>
        </w:numPr>
        <w:rPr>
          <w:lang w:val="fr-CA"/>
        </w:rPr>
      </w:pPr>
      <w:r w:rsidRPr="00AD2348">
        <w:rPr>
          <w:b/>
          <w:bCs/>
          <w:lang w:val="fr-CA"/>
        </w:rPr>
        <w:t>Suivre les marges par projet et type de consultant de manière hebdomadaire</w:t>
      </w:r>
      <w:r w:rsidRPr="00AD2348">
        <w:rPr>
          <w:lang w:val="fr-CA"/>
        </w:rPr>
        <w:t xml:space="preserve"> pour détecter les projets en perte dès les premières semaines.</w:t>
      </w:r>
    </w:p>
    <w:p w:rsidRPr="00AD2348" w:rsidR="00AD2348" w:rsidP="00AD2348" w:rsidRDefault="00AD2348" w14:paraId="04D4A1D7" w14:textId="77777777">
      <w:pPr>
        <w:numPr>
          <w:ilvl w:val="0"/>
          <w:numId w:val="6"/>
        </w:numPr>
      </w:pPr>
      <w:r w:rsidRPr="00AD2348">
        <w:rPr>
          <w:b/>
          <w:bCs/>
          <w:lang w:val="fr-CA"/>
        </w:rPr>
        <w:t>Renégocier les modalités tarifaires ou revoir la structure des équipes</w:t>
      </w:r>
      <w:r w:rsidRPr="00AD2348">
        <w:rPr>
          <w:lang w:val="fr-CA"/>
        </w:rPr>
        <w:t xml:space="preserve"> sur les projets déficitaires (ex. </w:t>
      </w:r>
      <w:r w:rsidRPr="00AD2348">
        <w:rPr>
          <w:i/>
          <w:iCs/>
        </w:rPr>
        <w:t>Neptune_Solaris</w:t>
      </w:r>
      <w:r w:rsidRPr="00AD2348">
        <w:t>).</w:t>
      </w:r>
    </w:p>
    <w:p w:rsidRPr="00AD2348" w:rsidR="00AD2348" w:rsidP="00AD2348" w:rsidRDefault="00AD2348" w14:paraId="6C5179D0" w14:textId="076A06FD">
      <w:pPr>
        <w:rPr>
          <w:b w:val="1"/>
          <w:bCs w:val="1"/>
          <w:lang w:val="fr-CA"/>
        </w:rPr>
      </w:pPr>
      <w:r w:rsidRPr="7B50A992" w:rsidR="00AD2348">
        <w:rPr>
          <w:b w:val="1"/>
          <w:bCs w:val="1"/>
          <w:lang w:val="fr-CA"/>
        </w:rPr>
        <w:t>B. Optimisation des affectations (Bench)</w:t>
      </w:r>
    </w:p>
    <w:p w:rsidRPr="00AD2348" w:rsidR="00AD2348" w:rsidP="00AD2348" w:rsidRDefault="00AD2348" w14:paraId="0CBB100F" w14:textId="77777777">
      <w:pPr>
        <w:numPr>
          <w:ilvl w:val="0"/>
          <w:numId w:val="7"/>
        </w:numPr>
        <w:rPr>
          <w:lang w:val="fr-CA"/>
        </w:rPr>
      </w:pPr>
      <w:r w:rsidRPr="00AD2348">
        <w:rPr>
          <w:b/>
          <w:bCs/>
          <w:lang w:val="fr-CA"/>
        </w:rPr>
        <w:t xml:space="preserve">Créer un indicateur de </w:t>
      </w:r>
      <w:proofErr w:type="spellStart"/>
      <w:r w:rsidRPr="00AD2348">
        <w:rPr>
          <w:b/>
          <w:bCs/>
          <w:lang w:val="fr-CA"/>
        </w:rPr>
        <w:t>bench</w:t>
      </w:r>
      <w:proofErr w:type="spellEnd"/>
      <w:r w:rsidRPr="00AD2348">
        <w:rPr>
          <w:b/>
          <w:bCs/>
          <w:lang w:val="fr-CA"/>
        </w:rPr>
        <w:t xml:space="preserve"> par consultant et par niveau hiérarchique</w:t>
      </w:r>
      <w:r w:rsidRPr="00AD2348">
        <w:rPr>
          <w:lang w:val="fr-CA"/>
        </w:rPr>
        <w:t>, pour identifier rapidement les ressources sous-utilisées.</w:t>
      </w:r>
    </w:p>
    <w:p w:rsidRPr="00AD2348" w:rsidR="00AD2348" w:rsidP="00AD2348" w:rsidRDefault="00AD2348" w14:paraId="7F63CDB6" w14:textId="77777777">
      <w:pPr>
        <w:numPr>
          <w:ilvl w:val="0"/>
          <w:numId w:val="7"/>
        </w:numPr>
        <w:rPr>
          <w:lang w:val="fr-CA"/>
        </w:rPr>
      </w:pPr>
      <w:r w:rsidRPr="00AD2348">
        <w:rPr>
          <w:b/>
          <w:bCs/>
          <w:lang w:val="fr-CA"/>
        </w:rPr>
        <w:t>Mettre en place un système d’alerte automatique</w:t>
      </w:r>
      <w:r w:rsidRPr="00AD2348">
        <w:rPr>
          <w:lang w:val="fr-CA"/>
        </w:rPr>
        <w:t xml:space="preserve"> (ex : &gt; 2 semaines sans affectation = alerte), en lien avec les RH pour réaffectation rapide.</w:t>
      </w:r>
    </w:p>
    <w:p w:rsidRPr="00AD2348" w:rsidR="00AD2348" w:rsidP="00AD2348" w:rsidRDefault="00AD2348" w14:paraId="32D7BD26" w14:textId="77777777">
      <w:pPr>
        <w:numPr>
          <w:ilvl w:val="0"/>
          <w:numId w:val="7"/>
        </w:numPr>
        <w:rPr>
          <w:lang w:val="fr-CA"/>
        </w:rPr>
      </w:pPr>
      <w:r w:rsidRPr="00AD2348">
        <w:rPr>
          <w:b/>
          <w:bCs/>
          <w:lang w:val="fr-CA"/>
        </w:rPr>
        <w:t>Prioriser les consultants internes</w:t>
      </w:r>
      <w:r w:rsidRPr="00AD2348">
        <w:rPr>
          <w:lang w:val="fr-CA"/>
        </w:rPr>
        <w:t xml:space="preserve"> sur les projets à faible marge ou à risque, pour éviter la dégradation des coûts.</w:t>
      </w:r>
    </w:p>
    <w:p w:rsidRPr="00AD2348" w:rsidR="00AD2348" w:rsidP="00AD2348" w:rsidRDefault="00AD2348" w14:paraId="1980225D" w14:textId="4511033B">
      <w:pPr>
        <w:rPr>
          <w:b w:val="1"/>
          <w:bCs w:val="1"/>
          <w:lang w:val="fr-CA"/>
        </w:rPr>
      </w:pPr>
      <w:r w:rsidRPr="7B50A992" w:rsidR="00AD2348">
        <w:rPr>
          <w:b w:val="1"/>
          <w:bCs w:val="1"/>
          <w:lang w:val="fr-CA"/>
        </w:rPr>
        <w:t xml:space="preserve">C. Prédiction et planification du </w:t>
      </w:r>
      <w:r w:rsidRPr="7B50A992" w:rsidR="00AD2348">
        <w:rPr>
          <w:b w:val="1"/>
          <w:bCs w:val="1"/>
          <w:lang w:val="fr-CA"/>
        </w:rPr>
        <w:t>staffing</w:t>
      </w:r>
    </w:p>
    <w:p w:rsidRPr="00AD2348" w:rsidR="00AD2348" w:rsidP="00AD2348" w:rsidRDefault="00AD2348" w14:paraId="63B30F2B" w14:textId="77777777">
      <w:pPr>
        <w:numPr>
          <w:ilvl w:val="0"/>
          <w:numId w:val="8"/>
        </w:numPr>
        <w:rPr>
          <w:lang w:val="fr-CA"/>
        </w:rPr>
      </w:pPr>
      <w:r w:rsidRPr="00AD2348">
        <w:rPr>
          <w:lang w:val="fr-CA"/>
        </w:rPr>
        <w:t xml:space="preserve">Grâce au modèle de </w:t>
      </w:r>
      <w:proofErr w:type="spellStart"/>
      <w:r w:rsidRPr="00AD2348">
        <w:rPr>
          <w:b/>
          <w:bCs/>
          <w:lang w:val="fr-CA"/>
        </w:rPr>
        <w:t>Random</w:t>
      </w:r>
      <w:proofErr w:type="spellEnd"/>
      <w:r w:rsidRPr="00AD2348">
        <w:rPr>
          <w:b/>
          <w:bCs/>
          <w:lang w:val="fr-CA"/>
        </w:rPr>
        <w:t xml:space="preserve"> Forest</w:t>
      </w:r>
      <w:r w:rsidRPr="00AD2348">
        <w:rPr>
          <w:lang w:val="fr-CA"/>
        </w:rPr>
        <w:t xml:space="preserve">, vous pouvez désormais </w:t>
      </w:r>
      <w:r w:rsidRPr="00AD2348">
        <w:rPr>
          <w:b/>
          <w:bCs/>
          <w:lang w:val="fr-CA"/>
        </w:rPr>
        <w:t>prévoir avec une erreur moyenne de ~9 heures les besoins futurs par consultant</w:t>
      </w:r>
      <w:r w:rsidRPr="00AD2348">
        <w:rPr>
          <w:lang w:val="fr-CA"/>
        </w:rPr>
        <w:t>.</w:t>
      </w:r>
    </w:p>
    <w:p w:rsidRPr="00AD2348" w:rsidR="00AD2348" w:rsidP="00AD2348" w:rsidRDefault="00AD2348" w14:paraId="6759C61A" w14:textId="77777777">
      <w:pPr>
        <w:ind w:left="720"/>
      </w:pPr>
      <w:r w:rsidRPr="00AD2348">
        <w:t xml:space="preserve">Cela </w:t>
      </w:r>
      <w:proofErr w:type="spellStart"/>
      <w:r w:rsidRPr="00AD2348">
        <w:t>permet</w:t>
      </w:r>
      <w:proofErr w:type="spellEnd"/>
      <w:r w:rsidRPr="00AD2348">
        <w:t xml:space="preserve"> </w:t>
      </w:r>
      <w:proofErr w:type="gramStart"/>
      <w:r w:rsidRPr="00AD2348">
        <w:t>de :</w:t>
      </w:r>
      <w:proofErr w:type="gramEnd"/>
    </w:p>
    <w:p w:rsidRPr="00AD2348" w:rsidR="00AD2348" w:rsidP="00AD2348" w:rsidRDefault="00AD2348" w14:paraId="7A11B958" w14:textId="77777777">
      <w:pPr>
        <w:numPr>
          <w:ilvl w:val="1"/>
          <w:numId w:val="8"/>
        </w:numPr>
        <w:rPr>
          <w:lang w:val="fr-CA"/>
        </w:rPr>
      </w:pPr>
      <w:r w:rsidRPr="00AD2348">
        <w:rPr>
          <w:b/>
          <w:bCs/>
          <w:lang w:val="fr-CA"/>
        </w:rPr>
        <w:t>Allouer les ressources de manière proactive</w:t>
      </w:r>
      <w:r w:rsidRPr="00AD2348">
        <w:rPr>
          <w:lang w:val="fr-CA"/>
        </w:rPr>
        <w:t>, avant les pics d’activité.</w:t>
      </w:r>
    </w:p>
    <w:p w:rsidRPr="00AD2348" w:rsidR="00AD2348" w:rsidP="00AD2348" w:rsidRDefault="00AD2348" w14:paraId="1500665F" w14:textId="77777777">
      <w:pPr>
        <w:numPr>
          <w:ilvl w:val="1"/>
          <w:numId w:val="8"/>
        </w:numPr>
        <w:rPr>
          <w:lang w:val="fr-CA"/>
        </w:rPr>
      </w:pPr>
      <w:r w:rsidRPr="00AD2348">
        <w:rPr>
          <w:b/>
          <w:bCs/>
          <w:lang w:val="fr-CA"/>
        </w:rPr>
        <w:t xml:space="preserve">Réduire le </w:t>
      </w:r>
      <w:proofErr w:type="spellStart"/>
      <w:r w:rsidRPr="00AD2348">
        <w:rPr>
          <w:b/>
          <w:bCs/>
          <w:lang w:val="fr-CA"/>
        </w:rPr>
        <w:t>bench</w:t>
      </w:r>
      <w:proofErr w:type="spellEnd"/>
      <w:r w:rsidRPr="00AD2348">
        <w:rPr>
          <w:b/>
          <w:bCs/>
          <w:lang w:val="fr-CA"/>
        </w:rPr>
        <w:t xml:space="preserve"> à venir</w:t>
      </w:r>
      <w:r w:rsidRPr="00AD2348">
        <w:rPr>
          <w:lang w:val="fr-CA"/>
        </w:rPr>
        <w:t xml:space="preserve"> en proposant des affectations anticipées.</w:t>
      </w:r>
    </w:p>
    <w:p w:rsidRPr="00AD2348" w:rsidR="00AD2348" w:rsidP="00AD2348" w:rsidRDefault="00AD2348" w14:paraId="16322E54" w14:textId="77777777">
      <w:pPr>
        <w:numPr>
          <w:ilvl w:val="1"/>
          <w:numId w:val="8"/>
        </w:numPr>
        <w:rPr>
          <w:lang w:val="fr-CA"/>
        </w:rPr>
      </w:pPr>
      <w:r w:rsidRPr="00AD2348">
        <w:rPr>
          <w:b/>
          <w:bCs/>
          <w:lang w:val="fr-CA"/>
        </w:rPr>
        <w:t>Simuler différents scénarios d’affectation ou d’embauche temporaire</w:t>
      </w:r>
      <w:r w:rsidRPr="00AD2348">
        <w:rPr>
          <w:lang w:val="fr-CA"/>
        </w:rPr>
        <w:t>.</w:t>
      </w:r>
    </w:p>
    <w:p w:rsidRPr="00AD2348" w:rsidR="00AD2348" w:rsidP="00AD2348" w:rsidRDefault="00AD2348" w14:paraId="1C4846FF" w14:textId="1E27F6DA">
      <w:pPr>
        <w:pStyle w:val="ListParagraph"/>
        <w:numPr>
          <w:ilvl w:val="0"/>
          <w:numId w:val="11"/>
        </w:numPr>
        <w:rPr>
          <w:lang w:val="fr-CA"/>
        </w:rPr>
      </w:pPr>
      <w:r w:rsidRPr="00AD2348">
        <w:rPr>
          <w:rFonts w:ascii="Times New Roman" w:hAnsi="Times New Roman" w:eastAsia="Times New Roman" w:cs="Times New Roman"/>
          <w:b/>
          <w:bCs/>
          <w:kern w:val="0"/>
          <w:lang w:val="fr-CA"/>
          <w14:ligatures w14:val="none"/>
        </w:rPr>
        <w:t>Prévision basée sur le comportement passé (simple et rapide)</w:t>
      </w:r>
    </w:p>
    <w:p w:rsidRPr="00AD2348" w:rsidR="00AD2348" w:rsidP="00AD2348" w:rsidRDefault="00AD2348" w14:paraId="1BD87650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lang w:val="fr-CA"/>
          <w14:ligatures w14:val="none"/>
        </w:rPr>
      </w:pPr>
      <w:r w:rsidRPr="00AD2348">
        <w:rPr>
          <w:rFonts w:ascii="Times New Roman" w:hAnsi="Times New Roman" w:eastAsia="Times New Roman" w:cs="Times New Roman"/>
          <w:kern w:val="0"/>
          <w:lang w:val="fr-CA"/>
          <w14:ligatures w14:val="none"/>
        </w:rPr>
        <w:t>Reproduire les heures réelles de l’année précédente pour chaque consultant (par semaine).</w:t>
      </w:r>
    </w:p>
    <w:p w:rsidRPr="00AD2348" w:rsidR="00AD2348" w:rsidP="00AD2348" w:rsidRDefault="00AD2348" w14:paraId="3F0C2726" w14:textId="69ACC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val="fr-CA"/>
          <w14:ligatures w14:val="none"/>
        </w:rPr>
      </w:pPr>
      <w:r w:rsidRPr="00AD2348">
        <w:rPr>
          <w:rFonts w:ascii="Times New Roman" w:hAnsi="Times New Roman" w:eastAsia="Times New Roman" w:cs="Times New Roman"/>
          <w:kern w:val="0"/>
          <w:lang w:val="fr-CA"/>
          <w14:ligatures w14:val="none"/>
        </w:rPr>
        <w:lastRenderedPageBreak/>
        <w:t>Identifier des tendances récurrentes et poser des hypothèses solides à moindre coût analytique.</w:t>
      </w:r>
    </w:p>
    <w:p w:rsidRPr="00AD2348" w:rsidR="00AD2348" w:rsidP="00AD2348" w:rsidRDefault="00AD2348" w14:paraId="0C18EC72" w14:textId="77777777">
      <w:pPr>
        <w:numPr>
          <w:ilvl w:val="0"/>
          <w:numId w:val="8"/>
        </w:numPr>
        <w:rPr>
          <w:lang w:val="fr-CA"/>
        </w:rPr>
      </w:pPr>
    </w:p>
    <w:p w:rsidRPr="00AD2348" w:rsidR="00AD2348" w:rsidP="00AD2348" w:rsidRDefault="00AD2348" w14:paraId="5A12F68A" w14:textId="51E78B6C">
      <w:pPr>
        <w:rPr>
          <w:b w:val="1"/>
          <w:bCs w:val="1"/>
        </w:rPr>
      </w:pPr>
      <w:r w:rsidRPr="7B50A992" w:rsidR="00AD2348">
        <w:rPr>
          <w:b w:val="1"/>
          <w:bCs w:val="1"/>
        </w:rPr>
        <w:t xml:space="preserve">D. Pilotage </w:t>
      </w:r>
      <w:r w:rsidRPr="7B50A992" w:rsidR="00AD2348">
        <w:rPr>
          <w:b w:val="1"/>
          <w:bCs w:val="1"/>
        </w:rPr>
        <w:t>continu</w:t>
      </w:r>
      <w:r w:rsidRPr="7B50A992" w:rsidR="00AD2348">
        <w:rPr>
          <w:b w:val="1"/>
          <w:bCs w:val="1"/>
        </w:rPr>
        <w:t xml:space="preserve"> via dashboard Power BI</w:t>
      </w:r>
    </w:p>
    <w:p w:rsidRPr="00AD2348" w:rsidR="00AD2348" w:rsidP="00AD2348" w:rsidRDefault="00AD2348" w14:paraId="24890299" w14:textId="77777777">
      <w:pPr>
        <w:numPr>
          <w:ilvl w:val="0"/>
          <w:numId w:val="9"/>
        </w:numPr>
        <w:rPr>
          <w:lang w:val="fr-CA"/>
        </w:rPr>
      </w:pPr>
      <w:r w:rsidRPr="00AD2348">
        <w:rPr>
          <w:b/>
          <w:bCs/>
          <w:lang w:val="fr-CA"/>
        </w:rPr>
        <w:t xml:space="preserve">Intégrer les filtres par Staff </w:t>
      </w:r>
      <w:proofErr w:type="spellStart"/>
      <w:r w:rsidRPr="00AD2348">
        <w:rPr>
          <w:b/>
          <w:bCs/>
          <w:lang w:val="fr-CA"/>
        </w:rPr>
        <w:t>Level</w:t>
      </w:r>
      <w:proofErr w:type="spellEnd"/>
      <w:r w:rsidRPr="00AD2348">
        <w:rPr>
          <w:b/>
          <w:bCs/>
          <w:lang w:val="fr-CA"/>
        </w:rPr>
        <w:t>, Client, Type Consultant, Projet</w:t>
      </w:r>
      <w:r w:rsidRPr="00AD2348">
        <w:rPr>
          <w:lang w:val="fr-CA"/>
        </w:rPr>
        <w:t xml:space="preserve"> pour des décisions ciblées.</w:t>
      </w:r>
    </w:p>
    <w:p w:rsidRPr="00AD2348" w:rsidR="00AD2348" w:rsidP="00AD2348" w:rsidRDefault="00AD2348" w14:paraId="373561BA" w14:textId="77777777">
      <w:pPr>
        <w:numPr>
          <w:ilvl w:val="0"/>
          <w:numId w:val="9"/>
        </w:numPr>
        <w:rPr>
          <w:lang w:val="fr-CA"/>
        </w:rPr>
      </w:pPr>
      <w:r w:rsidRPr="00AD2348">
        <w:rPr>
          <w:b/>
          <w:bCs/>
          <w:lang w:val="fr-CA"/>
        </w:rPr>
        <w:t>Surveiller les KPI en temps réel</w:t>
      </w:r>
      <w:r w:rsidRPr="00AD2348">
        <w:rPr>
          <w:lang w:val="fr-CA"/>
        </w:rPr>
        <w:t xml:space="preserve"> avec des cartes de performance :</w:t>
      </w:r>
    </w:p>
    <w:p w:rsidRPr="00AD2348" w:rsidR="00AD2348" w:rsidP="7B50A992" w:rsidRDefault="00AD2348" w14:paraId="15F2F49D" w14:textId="7C08EF6C">
      <w:pPr>
        <w:numPr>
          <w:ilvl w:val="1"/>
          <w:numId w:val="9"/>
        </w:numPr>
        <w:rPr>
          <w:rFonts w:ascii="Segoe UI Emoji" w:hAnsi="Segoe UI Emoji" w:cs="Segoe UI Emoji"/>
        </w:rPr>
      </w:pPr>
      <w:r w:rsidR="00AD2348">
        <w:rPr/>
        <w:t xml:space="preserve">Bench Flag </w:t>
      </w:r>
      <w:r w:rsidR="00AD2348">
        <w:rPr/>
        <w:t>dynamique</w:t>
      </w:r>
      <w:r w:rsidR="00AD2348">
        <w:rPr/>
        <w:t xml:space="preserve"> </w:t>
      </w:r>
    </w:p>
    <w:p w:rsidRPr="00AD2348" w:rsidR="00AD2348" w:rsidP="7B50A992" w:rsidRDefault="00AD2348" w14:paraId="249EEEEC" w14:textId="1843D0C7">
      <w:pPr>
        <w:numPr>
          <w:ilvl w:val="1"/>
          <w:numId w:val="9"/>
        </w:numPr>
        <w:rPr>
          <w:rFonts w:ascii="Segoe UI Emoji" w:hAnsi="Segoe UI Emoji" w:cs="Segoe UI Emoji"/>
        </w:rPr>
      </w:pPr>
      <w:r w:rsidR="00AD2348">
        <w:rPr/>
        <w:t xml:space="preserve">Marge </w:t>
      </w:r>
      <w:r w:rsidR="00AD2348">
        <w:rPr/>
        <w:t>hebdomadaire</w:t>
      </w:r>
      <w:r w:rsidR="00AD2348">
        <w:rPr/>
        <w:t xml:space="preserve"> </w:t>
      </w:r>
    </w:p>
    <w:p w:rsidRPr="00AD2348" w:rsidR="00AD2348" w:rsidP="7B50A992" w:rsidRDefault="00AD2348" w14:paraId="00409CF2" w14:textId="4564C748">
      <w:pPr>
        <w:numPr>
          <w:ilvl w:val="1"/>
          <w:numId w:val="9"/>
        </w:numPr>
        <w:rPr>
          <w:rFonts w:ascii="Segoe UI Emoji" w:hAnsi="Segoe UI Emoji" w:cs="Segoe UI Emoji"/>
        </w:rPr>
      </w:pPr>
      <w:r w:rsidR="00AD2348">
        <w:rPr/>
        <w:t>Dépassement</w:t>
      </w:r>
      <w:r w:rsidR="00AD2348">
        <w:rPr/>
        <w:t xml:space="preserve"> </w:t>
      </w:r>
      <w:r w:rsidR="00AD2348">
        <w:rPr/>
        <w:t>budgétaire</w:t>
      </w:r>
      <w:r w:rsidR="00AD2348">
        <w:rPr/>
        <w:t xml:space="preserve"> </w:t>
      </w:r>
    </w:p>
    <w:p w:rsidRPr="00AD2348" w:rsidR="00AD2348" w:rsidP="00AD2348" w:rsidRDefault="00AD2348" w14:paraId="49D18EC9" w14:textId="77777777">
      <w:pPr>
        <w:numPr>
          <w:ilvl w:val="0"/>
          <w:numId w:val="9"/>
        </w:numPr>
        <w:rPr>
          <w:lang w:val="fr-CA"/>
        </w:rPr>
      </w:pPr>
      <w:r w:rsidRPr="00AD2348">
        <w:rPr>
          <w:b/>
          <w:bCs/>
          <w:lang w:val="fr-CA"/>
        </w:rPr>
        <w:t>Croiser les prédictions de charge avec les disponibilités</w:t>
      </w:r>
      <w:r w:rsidRPr="00AD2348">
        <w:rPr>
          <w:lang w:val="fr-CA"/>
        </w:rPr>
        <w:t xml:space="preserve"> pour améliorer la planification.</w:t>
      </w:r>
    </w:p>
    <w:p w:rsidRPr="00AD2348" w:rsidR="00AD2348" w:rsidRDefault="00AD2348" w14:paraId="61F10C06" w14:textId="77777777">
      <w:pPr>
        <w:rPr>
          <w:lang w:val="fr-CA"/>
        </w:rPr>
      </w:pPr>
    </w:p>
    <w:sectPr w:rsidRPr="00AD2348" w:rsidR="00AD23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6FB2"/>
    <w:multiLevelType w:val="multilevel"/>
    <w:tmpl w:val="BD6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04D3B63"/>
    <w:multiLevelType w:val="multilevel"/>
    <w:tmpl w:val="E72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10C6378"/>
    <w:multiLevelType w:val="multilevel"/>
    <w:tmpl w:val="6D4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6C057D"/>
    <w:multiLevelType w:val="multilevel"/>
    <w:tmpl w:val="642C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A9C211D"/>
    <w:multiLevelType w:val="hybridMultilevel"/>
    <w:tmpl w:val="252EB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352225"/>
    <w:multiLevelType w:val="multilevel"/>
    <w:tmpl w:val="26A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CF34A29"/>
    <w:multiLevelType w:val="multilevel"/>
    <w:tmpl w:val="8DD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937CF9"/>
    <w:multiLevelType w:val="multilevel"/>
    <w:tmpl w:val="5A5C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015D8C"/>
    <w:multiLevelType w:val="multilevel"/>
    <w:tmpl w:val="3E9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FCF1F2A"/>
    <w:multiLevelType w:val="multilevel"/>
    <w:tmpl w:val="6BF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DAE50DF"/>
    <w:multiLevelType w:val="multilevel"/>
    <w:tmpl w:val="931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70444702">
    <w:abstractNumId w:val="6"/>
  </w:num>
  <w:num w:numId="2" w16cid:durableId="728725361">
    <w:abstractNumId w:val="10"/>
  </w:num>
  <w:num w:numId="3" w16cid:durableId="1440679780">
    <w:abstractNumId w:val="9"/>
  </w:num>
  <w:num w:numId="4" w16cid:durableId="407505033">
    <w:abstractNumId w:val="5"/>
  </w:num>
  <w:num w:numId="5" w16cid:durableId="1894807117">
    <w:abstractNumId w:val="0"/>
  </w:num>
  <w:num w:numId="6" w16cid:durableId="795294219">
    <w:abstractNumId w:val="2"/>
  </w:num>
  <w:num w:numId="7" w16cid:durableId="105737231">
    <w:abstractNumId w:val="8"/>
  </w:num>
  <w:num w:numId="8" w16cid:durableId="141385671">
    <w:abstractNumId w:val="7"/>
  </w:num>
  <w:num w:numId="9" w16cid:durableId="563372199">
    <w:abstractNumId w:val="3"/>
  </w:num>
  <w:num w:numId="10" w16cid:durableId="1612514714">
    <w:abstractNumId w:val="1"/>
  </w:num>
  <w:num w:numId="11" w16cid:durableId="1713112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48"/>
    <w:rsid w:val="00AD2348"/>
    <w:rsid w:val="00B924BB"/>
    <w:rsid w:val="00CD22AA"/>
    <w:rsid w:val="39163379"/>
    <w:rsid w:val="7B50A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79C3"/>
  <w15:chartTrackingRefBased/>
  <w15:docId w15:val="{258BCC98-A13E-4063-B1D7-9E831512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4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4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234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234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234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D234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234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234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234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234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4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23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4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D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4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2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29F6BF24079428DB5BD0EC7654CD9" ma:contentTypeVersion="3" ma:contentTypeDescription="Create a new document." ma:contentTypeScope="" ma:versionID="fdfea22584c51aee5aeed6ebcc9af17e">
  <xsd:schema xmlns:xsd="http://www.w3.org/2001/XMLSchema" xmlns:xs="http://www.w3.org/2001/XMLSchema" xmlns:p="http://schemas.microsoft.com/office/2006/metadata/properties" xmlns:ns2="a2d49f8d-d542-4967-b469-47fe947713b3" targetNamespace="http://schemas.microsoft.com/office/2006/metadata/properties" ma:root="true" ma:fieldsID="790752e493da9d381e260183798123d6" ns2:_="">
    <xsd:import namespace="a2d49f8d-d542-4967-b469-47fe94771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49f8d-d542-4967-b469-47fe94771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5F8615-C5CA-4D99-BFB9-DAA74213491A}"/>
</file>

<file path=customXml/itemProps2.xml><?xml version="1.0" encoding="utf-8"?>
<ds:datastoreItem xmlns:ds="http://schemas.openxmlformats.org/officeDocument/2006/customXml" ds:itemID="{653B51DF-EB91-48E3-BE2F-C46BE293BB10}"/>
</file>

<file path=customXml/itemProps3.xml><?xml version="1.0" encoding="utf-8"?>
<ds:datastoreItem xmlns:ds="http://schemas.openxmlformats.org/officeDocument/2006/customXml" ds:itemID="{D72E05D5-E5A8-4C2A-B833-9A4E0082BD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Fabrice Leroy Tiojip Latche</dc:creator>
  <keywords/>
  <dc:description/>
  <lastModifiedBy>Fabrice Leroy Tiojip Latche</lastModifiedBy>
  <revision>2</revision>
  <dcterms:created xsi:type="dcterms:W3CDTF">2025-03-30T02:53:00.0000000Z</dcterms:created>
  <dcterms:modified xsi:type="dcterms:W3CDTF">2025-09-02T05:48:19.6898215Z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0x01010091429F6BF24079428DB5BD0EC7654CD9</vt:lpwstr>
  </property>
</Properties>
</file>