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14B2" w:rsidRPr="00F6708F" w:rsidRDefault="00000000" w:rsidP="00F6708F">
      <w:pPr>
        <w:pStyle w:val="Heading1"/>
        <w:spacing w:before="12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[Project Title]</w:t>
      </w:r>
    </w:p>
    <w:p w14:paraId="00000002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b/>
          <w:bCs/>
          <w:color w:val="1F1F1F"/>
        </w:rPr>
        <w:t>BY:</w:t>
      </w:r>
      <w:r w:rsidRPr="00F6708F">
        <w:rPr>
          <w:rFonts w:ascii="Times New Roman" w:eastAsia="Google Sans" w:hAnsi="Times New Roman" w:cs="Times New Roman"/>
          <w:color w:val="1F1F1F"/>
        </w:rPr>
        <w:t xml:space="preserve"> [Group Name / Author Name]</w:t>
      </w:r>
    </w:p>
    <w:p w14:paraId="00000003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b/>
          <w:bCs/>
          <w:color w:val="1F1F1F"/>
        </w:rPr>
        <w:t>Course Title:</w:t>
      </w:r>
      <w:r w:rsidRPr="00F6708F">
        <w:rPr>
          <w:rFonts w:ascii="Times New Roman" w:eastAsia="Google Sans" w:hAnsi="Times New Roman" w:cs="Times New Roman"/>
          <w:color w:val="1F1F1F"/>
        </w:rPr>
        <w:t xml:space="preserve"> [e.g., Constitutional Law]</w:t>
      </w:r>
    </w:p>
    <w:p w14:paraId="00000004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b/>
          <w:bCs/>
          <w:color w:val="1F1F1F"/>
        </w:rPr>
        <w:t>Lecturer:</w:t>
      </w:r>
      <w:r w:rsidRPr="00F6708F">
        <w:rPr>
          <w:rFonts w:ascii="Times New Roman" w:eastAsia="Google Sans" w:hAnsi="Times New Roman" w:cs="Times New Roman"/>
          <w:color w:val="1F1F1F"/>
        </w:rPr>
        <w:t xml:space="preserve"> [Lecturer Name]</w:t>
      </w:r>
    </w:p>
    <w:p w14:paraId="00000005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b/>
          <w:bCs/>
          <w:color w:val="1F1F1F"/>
        </w:rPr>
        <w:t>Date:</w:t>
      </w:r>
      <w:r w:rsidRPr="00F6708F">
        <w:rPr>
          <w:rFonts w:ascii="Times New Roman" w:eastAsia="Google Sans" w:hAnsi="Times New Roman" w:cs="Times New Roman"/>
          <w:color w:val="1F1F1F"/>
        </w:rPr>
        <w:t xml:space="preserve"> [Month, Year]</w:t>
      </w:r>
    </w:p>
    <w:p w14:paraId="00000006" w14:textId="77777777" w:rsidR="007A14B2" w:rsidRPr="00F6708F" w:rsidRDefault="007A14B2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</w:p>
    <w:p w14:paraId="00000007" w14:textId="77777777" w:rsidR="007A14B2" w:rsidRPr="00F6708F" w:rsidRDefault="00000000" w:rsidP="00F6708F">
      <w:pPr>
        <w:pStyle w:val="Heading3"/>
        <w:spacing w:before="12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Table of Contents</w:t>
      </w:r>
    </w:p>
    <w:p w14:paraId="00000008" w14:textId="77777777" w:rsidR="007A14B2" w:rsidRPr="00F6708F" w:rsidRDefault="00000000" w:rsidP="00F67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F6708F">
        <w:rPr>
          <w:rFonts w:ascii="Times New Roman" w:eastAsia="Google Sans" w:hAnsi="Times New Roman" w:cs="Times New Roman"/>
          <w:color w:val="1F1F1F"/>
        </w:rPr>
        <w:t>Introduction</w:t>
      </w:r>
    </w:p>
    <w:p w14:paraId="00000009" w14:textId="77777777" w:rsidR="007A14B2" w:rsidRPr="00F6708F" w:rsidRDefault="00000000" w:rsidP="00F67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F6708F">
        <w:rPr>
          <w:rFonts w:ascii="Times New Roman" w:eastAsia="Google Sans" w:hAnsi="Times New Roman" w:cs="Times New Roman"/>
          <w:color w:val="1F1F1F"/>
        </w:rPr>
        <w:t>Theoretical and Historical Background</w:t>
      </w:r>
    </w:p>
    <w:p w14:paraId="0000000A" w14:textId="77777777" w:rsidR="007A14B2" w:rsidRPr="00F6708F" w:rsidRDefault="00000000" w:rsidP="00F67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F6708F">
        <w:rPr>
          <w:rFonts w:ascii="Times New Roman" w:eastAsia="Google Sans" w:hAnsi="Times New Roman" w:cs="Times New Roman"/>
          <w:color w:val="1F1F1F"/>
        </w:rPr>
        <w:t>Constitutional and Statutory Framework</w:t>
      </w:r>
    </w:p>
    <w:p w14:paraId="0000000B" w14:textId="77777777" w:rsidR="007A14B2" w:rsidRPr="00F6708F" w:rsidRDefault="00000000" w:rsidP="00F67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F6708F">
        <w:rPr>
          <w:rFonts w:ascii="Times New Roman" w:eastAsia="Google Sans" w:hAnsi="Times New Roman" w:cs="Times New Roman"/>
          <w:color w:val="1F1F1F"/>
        </w:rPr>
        <w:t>Judicial Interpretation and Key Precedents</w:t>
      </w:r>
    </w:p>
    <w:p w14:paraId="0000000C" w14:textId="77777777" w:rsidR="007A14B2" w:rsidRPr="00F6708F" w:rsidRDefault="00000000" w:rsidP="00F67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F6708F">
        <w:rPr>
          <w:rFonts w:ascii="Times New Roman" w:eastAsia="Google Sans" w:hAnsi="Times New Roman" w:cs="Times New Roman"/>
          <w:color w:val="1F1F1F"/>
        </w:rPr>
        <w:t>Comparative Analysis</w:t>
      </w:r>
    </w:p>
    <w:p w14:paraId="0000000D" w14:textId="77777777" w:rsidR="007A14B2" w:rsidRPr="00F6708F" w:rsidRDefault="00000000" w:rsidP="00F67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F6708F">
        <w:rPr>
          <w:rFonts w:ascii="Times New Roman" w:eastAsia="Google Sans" w:hAnsi="Times New Roman" w:cs="Times New Roman"/>
          <w:color w:val="1F1F1F"/>
        </w:rPr>
        <w:t>Challenges and Critiques</w:t>
      </w:r>
    </w:p>
    <w:p w14:paraId="0000000E" w14:textId="77777777" w:rsidR="007A14B2" w:rsidRPr="00F6708F" w:rsidRDefault="00000000" w:rsidP="00F67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F6708F">
        <w:rPr>
          <w:rFonts w:ascii="Times New Roman" w:eastAsia="Google Sans" w:hAnsi="Times New Roman" w:cs="Times New Roman"/>
          <w:color w:val="1F1F1F"/>
        </w:rPr>
        <w:t>Reforms and Recommendations</w:t>
      </w:r>
    </w:p>
    <w:p w14:paraId="0000000F" w14:textId="77777777" w:rsidR="007A14B2" w:rsidRPr="00F6708F" w:rsidRDefault="00000000" w:rsidP="00F67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F6708F">
        <w:rPr>
          <w:rFonts w:ascii="Times New Roman" w:eastAsia="Google Sans" w:hAnsi="Times New Roman" w:cs="Times New Roman"/>
          <w:color w:val="1F1F1F"/>
        </w:rPr>
        <w:t>Conclusion</w:t>
      </w:r>
    </w:p>
    <w:p w14:paraId="00000010" w14:textId="77777777" w:rsidR="007A14B2" w:rsidRPr="00F6708F" w:rsidRDefault="00000000" w:rsidP="00F670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hAnsi="Times New Roman" w:cs="Times New Roman"/>
        </w:rPr>
      </w:pPr>
      <w:r w:rsidRPr="00F6708F">
        <w:rPr>
          <w:rFonts w:ascii="Times New Roman" w:eastAsia="Google Sans" w:hAnsi="Times New Roman" w:cs="Times New Roman"/>
          <w:color w:val="1F1F1F"/>
        </w:rPr>
        <w:t>Bibliography</w:t>
      </w:r>
    </w:p>
    <w:p w14:paraId="00000011" w14:textId="77777777" w:rsidR="007A14B2" w:rsidRPr="00F6708F" w:rsidRDefault="007A14B2" w:rsidP="00F6708F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</w:p>
    <w:p w14:paraId="00000012" w14:textId="77777777" w:rsidR="007A14B2" w:rsidRPr="00F6708F" w:rsidRDefault="00000000" w:rsidP="00F6708F">
      <w:pPr>
        <w:pStyle w:val="Heading1"/>
        <w:spacing w:before="12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1. Introduction</w:t>
      </w:r>
    </w:p>
    <w:p w14:paraId="00000013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[Provide a clear overview of the legal issue. State the objectives of the research and the significance of the study.]</w:t>
      </w:r>
    </w:p>
    <w:p w14:paraId="00000014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 xml:space="preserve">The protection of personal liberty¹ is a cornerstone of constitutional law. This research </w:t>
      </w:r>
      <w:proofErr w:type="spellStart"/>
      <w:r w:rsidRPr="00F6708F">
        <w:rPr>
          <w:rFonts w:ascii="Times New Roman" w:eastAsia="Google Sans" w:hAnsi="Times New Roman" w:cs="Times New Roman"/>
          <w:color w:val="1F1F1F"/>
        </w:rPr>
        <w:t>analyzes</w:t>
      </w:r>
      <w:proofErr w:type="spellEnd"/>
      <w:r w:rsidRPr="00F6708F">
        <w:rPr>
          <w:rFonts w:ascii="Times New Roman" w:eastAsia="Google Sans" w:hAnsi="Times New Roman" w:cs="Times New Roman"/>
          <w:color w:val="1F1F1F"/>
        </w:rPr>
        <w:t xml:space="preserve"> the mechanisms, such as habeas </w:t>
      </w:r>
      <w:proofErr w:type="gramStart"/>
      <w:r w:rsidRPr="00F6708F">
        <w:rPr>
          <w:rFonts w:ascii="Times New Roman" w:eastAsia="Google Sans" w:hAnsi="Times New Roman" w:cs="Times New Roman"/>
          <w:color w:val="1F1F1F"/>
        </w:rPr>
        <w:t>corpus,²</w:t>
      </w:r>
      <w:proofErr w:type="gramEnd"/>
      <w:r w:rsidRPr="00F6708F">
        <w:rPr>
          <w:rFonts w:ascii="Times New Roman" w:eastAsia="Google Sans" w:hAnsi="Times New Roman" w:cs="Times New Roman"/>
          <w:color w:val="1F1F1F"/>
        </w:rPr>
        <w:t xml:space="preserve"> used to safeguard individual rights.</w:t>
      </w:r>
    </w:p>
    <w:p w14:paraId="00000015" w14:textId="77777777" w:rsidR="007A14B2" w:rsidRPr="00F6708F" w:rsidRDefault="007A14B2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</w:p>
    <w:p w14:paraId="00000016" w14:textId="77777777" w:rsidR="007A14B2" w:rsidRPr="00F6708F" w:rsidRDefault="00000000" w:rsidP="00F6708F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2. Theoretical and Historical Background</w:t>
      </w:r>
    </w:p>
    <w:p w14:paraId="00000017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 xml:space="preserve">[Discuss the origins of the legal doctrine. For habeas corpus, this would involve tracing its roots from the </w:t>
      </w:r>
      <w:r w:rsidRPr="00F6708F">
        <w:rPr>
          <w:rFonts w:ascii="Times New Roman" w:eastAsia="Google Sans" w:hAnsi="Times New Roman" w:cs="Times New Roman"/>
          <w:color w:val="1F1F1F"/>
        </w:rPr>
        <w:lastRenderedPageBreak/>
        <w:t>Magna Carta to modern legal reception.]</w:t>
      </w:r>
    </w:p>
    <w:p w14:paraId="00000018" w14:textId="77777777" w:rsidR="007A14B2" w:rsidRPr="00F6708F" w:rsidRDefault="007A14B2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</w:p>
    <w:p w14:paraId="00000019" w14:textId="77777777" w:rsidR="007A14B2" w:rsidRPr="00F6708F" w:rsidRDefault="00000000" w:rsidP="00F6708F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3. Constitutional and Statutory Framework</w:t>
      </w:r>
    </w:p>
    <w:p w14:paraId="0000001A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[Detail the specific laws and constitutional sections governing the topic.]</w:t>
      </w:r>
    </w:p>
    <w:p w14:paraId="0000001B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 xml:space="preserve">In Nigeria, the primary foundation is Section 35 of the 1999 Constitution, which guarantees the right to personal </w:t>
      </w:r>
      <w:proofErr w:type="gramStart"/>
      <w:r w:rsidRPr="00F6708F">
        <w:rPr>
          <w:rFonts w:ascii="Times New Roman" w:eastAsia="Google Sans" w:hAnsi="Times New Roman" w:cs="Times New Roman"/>
          <w:color w:val="1F1F1F"/>
        </w:rPr>
        <w:t>liberty.³</w:t>
      </w:r>
      <w:proofErr w:type="gramEnd"/>
      <w:r w:rsidRPr="00F6708F">
        <w:rPr>
          <w:rFonts w:ascii="Times New Roman" w:eastAsia="Google Sans" w:hAnsi="Times New Roman" w:cs="Times New Roman"/>
          <w:color w:val="1F1F1F"/>
        </w:rPr>
        <w:t xml:space="preserve"> Furthermore, Section 46 provides the procedural gateway for enforcement.⁴</w:t>
      </w:r>
    </w:p>
    <w:p w14:paraId="0000001C" w14:textId="77777777" w:rsidR="007A14B2" w:rsidRPr="00F6708F" w:rsidRDefault="00000000" w:rsidP="00F6708F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4. Judicial Interpretation and Key Precedents</w:t>
      </w:r>
    </w:p>
    <w:p w14:paraId="0000001D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[</w:t>
      </w:r>
      <w:proofErr w:type="spellStart"/>
      <w:r w:rsidRPr="00F6708F">
        <w:rPr>
          <w:rFonts w:ascii="Times New Roman" w:eastAsia="Google Sans" w:hAnsi="Times New Roman" w:cs="Times New Roman"/>
          <w:color w:val="1F1F1F"/>
        </w:rPr>
        <w:t>Analyze</w:t>
      </w:r>
      <w:proofErr w:type="spellEnd"/>
      <w:r w:rsidRPr="00F6708F">
        <w:rPr>
          <w:rFonts w:ascii="Times New Roman" w:eastAsia="Google Sans" w:hAnsi="Times New Roman" w:cs="Times New Roman"/>
          <w:color w:val="1F1F1F"/>
        </w:rPr>
        <w:t xml:space="preserve"> how courts have interpreted these laws. Use this section for your landmark cases.]</w:t>
      </w:r>
    </w:p>
    <w:p w14:paraId="0000001E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 xml:space="preserve">The judiciary plays a pivotal role as the "last hope of the common man." Landmark cases like </w:t>
      </w:r>
      <w:r w:rsidRPr="00F6708F">
        <w:rPr>
          <w:rFonts w:ascii="Times New Roman" w:eastAsia="Google Sans" w:hAnsi="Times New Roman" w:cs="Times New Roman"/>
          <w:i/>
          <w:iCs/>
          <w:color w:val="1F1F1F"/>
        </w:rPr>
        <w:t xml:space="preserve">Director of SSS v </w:t>
      </w:r>
      <w:proofErr w:type="spellStart"/>
      <w:r w:rsidRPr="00F6708F">
        <w:rPr>
          <w:rFonts w:ascii="Times New Roman" w:eastAsia="Google Sans" w:hAnsi="Times New Roman" w:cs="Times New Roman"/>
          <w:i/>
          <w:iCs/>
          <w:color w:val="1F1F1F"/>
        </w:rPr>
        <w:t>Agbakoba</w:t>
      </w:r>
      <w:proofErr w:type="spellEnd"/>
      <w:r w:rsidRPr="00F6708F">
        <w:rPr>
          <w:rFonts w:ascii="Times New Roman" w:eastAsia="Google Sans" w:hAnsi="Times New Roman" w:cs="Times New Roman"/>
          <w:color w:val="1F1F1F"/>
        </w:rPr>
        <w:t xml:space="preserve">⁵ and </w:t>
      </w:r>
      <w:r w:rsidRPr="00F6708F">
        <w:rPr>
          <w:rFonts w:ascii="Times New Roman" w:eastAsia="Google Sans" w:hAnsi="Times New Roman" w:cs="Times New Roman"/>
          <w:i/>
          <w:iCs/>
          <w:color w:val="1F1F1F"/>
        </w:rPr>
        <w:t>Abacha v Fawehinmi</w:t>
      </w:r>
      <w:r w:rsidRPr="00F6708F">
        <w:rPr>
          <w:rFonts w:ascii="Times New Roman" w:eastAsia="Google Sans" w:hAnsi="Times New Roman" w:cs="Times New Roman"/>
          <w:color w:val="1F1F1F"/>
        </w:rPr>
        <w:t>⁶ demonstrate the court's stance on unlawful detention.</w:t>
      </w:r>
    </w:p>
    <w:p w14:paraId="0000001F" w14:textId="77777777" w:rsidR="007A14B2" w:rsidRPr="00F6708F" w:rsidRDefault="00000000" w:rsidP="00F6708F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5. Comparative Analysis</w:t>
      </w:r>
    </w:p>
    <w:p w14:paraId="00000020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[Compare the Nigerian approach with other jurisdictions like the UK, USA, or India to highlight strengths and weaknesses.]</w:t>
      </w:r>
    </w:p>
    <w:p w14:paraId="00000021" w14:textId="77777777" w:rsidR="007A14B2" w:rsidRPr="00F6708F" w:rsidRDefault="00000000" w:rsidP="00F6708F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6. Challenges and Critiques</w:t>
      </w:r>
    </w:p>
    <w:p w14:paraId="00000022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[Identify practical obstacles, such as executive lawlessness, judicial delays, or lack of public awareness.]</w:t>
      </w:r>
    </w:p>
    <w:p w14:paraId="00000023" w14:textId="77777777" w:rsidR="007A14B2" w:rsidRPr="00F6708F" w:rsidRDefault="00000000" w:rsidP="00F6708F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7. Reforms and Recommendations</w:t>
      </w:r>
    </w:p>
    <w:p w14:paraId="00000024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[Propose specific legal, institutional, or procedural changes to improve the current system.]</w:t>
      </w:r>
    </w:p>
    <w:p w14:paraId="00000025" w14:textId="77777777" w:rsidR="007A14B2" w:rsidRPr="00F6708F" w:rsidRDefault="00000000" w:rsidP="00F6708F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8. Conclusion</w:t>
      </w:r>
    </w:p>
    <w:p w14:paraId="00000026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[Summarize the findings and provide final thoughts on the future of this legal protection.]</w:t>
      </w:r>
    </w:p>
    <w:p w14:paraId="00000027" w14:textId="77777777" w:rsidR="007A14B2" w:rsidRPr="00F6708F" w:rsidRDefault="00000000" w:rsidP="00F6708F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t>Bibliography</w:t>
      </w:r>
    </w:p>
    <w:p w14:paraId="00000028" w14:textId="77777777" w:rsidR="007A14B2" w:rsidRPr="00F6708F" w:rsidRDefault="00000000" w:rsidP="00F6708F">
      <w:pPr>
        <w:pBdr>
          <w:top w:val="nil"/>
          <w:left w:val="nil"/>
          <w:bottom w:val="nil"/>
          <w:right w:val="nil"/>
          <w:between w:val="nil"/>
        </w:pBdr>
        <w:spacing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  <w:r w:rsidRPr="00F6708F">
        <w:rPr>
          <w:rFonts w:ascii="Times New Roman" w:eastAsia="Google Sans" w:hAnsi="Times New Roman" w:cs="Times New Roman"/>
          <w:color w:val="1F1F1F"/>
        </w:rPr>
        <w:lastRenderedPageBreak/>
        <w:t xml:space="preserve">[The </w:t>
      </w:r>
      <w:proofErr w:type="spellStart"/>
      <w:r w:rsidRPr="00F6708F">
        <w:rPr>
          <w:rFonts w:ascii="Times New Roman" w:eastAsia="Google Sans" w:hAnsi="Times New Roman" w:cs="Times New Roman"/>
          <w:color w:val="1F1F1F"/>
        </w:rPr>
        <w:t>LexiCite</w:t>
      </w:r>
      <w:proofErr w:type="spellEnd"/>
      <w:r w:rsidRPr="00F6708F">
        <w:rPr>
          <w:rFonts w:ascii="Times New Roman" w:eastAsia="Google Sans" w:hAnsi="Times New Roman" w:cs="Times New Roman"/>
          <w:color w:val="1F1F1F"/>
        </w:rPr>
        <w:t xml:space="preserve"> Engine will use the sources provided in Step 2 of the app to populate your citations.]</w:t>
      </w:r>
    </w:p>
    <w:p w14:paraId="00000029" w14:textId="77777777" w:rsidR="007A14B2" w:rsidRPr="00F6708F" w:rsidRDefault="007A14B2" w:rsidP="00F6708F">
      <w:pPr>
        <w:pBdr>
          <w:top w:val="nil"/>
          <w:left w:val="nil"/>
          <w:bottom w:val="nil"/>
          <w:right w:val="nil"/>
          <w:between w:val="nil"/>
        </w:pBdr>
        <w:spacing w:before="240" w:after="150" w:line="360" w:lineRule="auto"/>
        <w:jc w:val="both"/>
        <w:rPr>
          <w:rFonts w:ascii="Times New Roman" w:eastAsia="Google Sans" w:hAnsi="Times New Roman" w:cs="Times New Roman"/>
          <w:color w:val="1F1F1F"/>
        </w:rPr>
      </w:pPr>
    </w:p>
    <w:sectPr w:rsidR="007A14B2" w:rsidRPr="00F6708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2D3EC5C-EE0D-4013-A777-0BBE801D8508}"/>
  </w:font>
  <w:font w:name="Google Sans">
    <w:charset w:val="00"/>
    <w:family w:val="auto"/>
    <w:pitch w:val="default"/>
    <w:embedRegular r:id="rId2" w:fontKey="{FB730C9F-B5F1-48DC-B79D-FF21268EF0A5}"/>
    <w:embedBold r:id="rId3" w:fontKey="{6EDF735D-B238-4CF3-B326-26341D66007F}"/>
    <w:embedItalic r:id="rId4" w:fontKey="{1DE7E3C9-54A1-4866-A8AD-E27B86F649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90EF289-20F1-4184-9FF3-9964536EB2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68CA8B-6F86-4746-8392-E001EA2C14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D06"/>
    <w:multiLevelType w:val="multilevel"/>
    <w:tmpl w:val="95B8416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517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Q3tzAyNzcytjQzMTJV0lEKTi0uzszPAykwrAUANHTlpCwAAAA="/>
  </w:docVars>
  <w:rsids>
    <w:rsidRoot w:val="007A14B2"/>
    <w:rsid w:val="007A14B2"/>
    <w:rsid w:val="00AD7F75"/>
    <w:rsid w:val="00C0467B"/>
    <w:rsid w:val="00F6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540173-AA09-4F65-A6F1-642BA6B4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Tioluwani Adeyinka</cp:lastModifiedBy>
  <cp:revision>2</cp:revision>
  <dcterms:created xsi:type="dcterms:W3CDTF">2026-04-04T12:12:00Z</dcterms:created>
  <dcterms:modified xsi:type="dcterms:W3CDTF">2026-04-04T12:12:00Z</dcterms:modified>
</cp:coreProperties>
</file>