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INFORME DE PRUEBAS UNITARIAS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Proyecto AlkeWallet</w:t>
      </w:r>
    </w:p>
    <w:p>
      <w:pPr>
        <w:spacing w:after="80" w:before="60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Evaluación Módulo 2 — Alkemy Chile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Junio 2025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Resumen ejecutivo</w:t>
      </w:r>
    </w:p>
    <w:p>
      <w:pPr>
        <w:spacing w:after="80" w:before="80"/>
      </w:pPr>
      <w:r>
        <w:t xml:space="preserve"/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13"/>
        <w:gridCol w:w="4913"/>
      </w:tblGrid>
      <w:tr>
        <w:tc>
          <w:tcPr>
            <w:tcW w:type="dxa" w:w="4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72"/>
                <w:szCs w:val="72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7A3C"/>
                <w:sz w:val="24"/>
                <w:szCs w:val="24"/>
              </w:rPr>
              <w:t xml:space="preserve">Pruebas ejecutadas</w:t>
            </w:r>
          </w:p>
        </w:tc>
        <w:tc>
          <w:tcPr>
            <w:tcW w:type="dxa" w:w="4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72"/>
                <w:szCs w:val="72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7A3C"/>
                <w:sz w:val="24"/>
                <w:szCs w:val="24"/>
              </w:rPr>
              <w:t xml:space="preserve">Pruebas exitosas (100%)</w:t>
            </w:r>
          </w:p>
        </w:tc>
      </w:tr>
      <w:tr>
        <w:tc>
          <w:tcPr>
            <w:tcW w:type="dxa" w:w="4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72"/>
                <w:szCs w:val="7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4"/>
                <w:szCs w:val="24"/>
              </w:rPr>
              <w:t xml:space="preserve">Pruebas fallidas</w:t>
            </w:r>
          </w:p>
        </w:tc>
        <w:tc>
          <w:tcPr>
            <w:tcW w:type="dxa" w:w="49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72"/>
                <w:szCs w:val="7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860B"/>
                <w:sz w:val="24"/>
                <w:szCs w:val="24"/>
              </w:rPr>
              <w:t xml:space="preserve">Clases testeadas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Entorno de pruebas</w:t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JUnit 5 (Jupiter) — versión 5.10.0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Lenguaje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Java 17 (LTS)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Herramienta de build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Apache Maven 3.8+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Comando de ejecución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mvn 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Clase de pruebas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BilleteraTest.java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Junio 2025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Resultados detallados por prueba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200"/>
        <w:gridCol w:w="2500"/>
        <w:gridCol w:w="11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Clase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Nombre del caso de prueba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Depósito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Saldo inicial es cero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Depósito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saldo aumenta correctamente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Depósito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Múltiples depósitos se acumulan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Depósito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Monto negativo lanza excepción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Depósito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Monto cero lanza excepción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Depósito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 transacción tipo DEPOSITO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saldo disminuye correctamente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Retirar todo deja saldo en cero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Saldo insuficiente lanza excepción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Monto negativo lanza excepción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Monto cero lanza excepción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 transacción tipo RETIRO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 CLP a USD correcta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 transacción CONVERSION_MONEDA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Saldo cero lanza excepción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Moneda no disponible lanza excepción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Historial vacío en billetera nueva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BT-18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Billetera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Historial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Registra 3 operaciones en orden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ConvertidorMoneda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Tasa CLP-USD correcta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ConvertidorMoneda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 de monto correcta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ConvertidorMoneda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Misma moneda retorna mismo monto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ConvertidorMoneda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Agregar tasa personalizada funciona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CM-05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ConvertidorMoneda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Validación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Tasa inválida lanza excepción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✔ EXITOSA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Problemas identificados y soluciones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Durante el proceso de desarrollo y prueba se identificaron los siguientes puntos de atención, los cuales fueron resueltos antes de la entrega final:</w:t>
      </w:r>
    </w:p>
    <w:p>
      <w:pPr>
        <w:spacing w:after="80" w:before="80"/>
      </w:pPr>
      <w:r>
        <w:t xml:space="preserve"/>
      </w:r>
    </w:p>
    <w:tbl>
      <w:tblPr>
        <w:tblW w:type="dxa" w:w="9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3413"/>
        <w:gridCol w:w="3413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Problema identificado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Impacto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Solución aplicada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Conversión de moneda con saldo 0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Error silencioso sin mensaje claro al usuario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agregó validación con IllegalStateException y mensaje descriptivo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Tasa de cambio no existente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NullPointerException en tiempo de ejecución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 valida la clave en el mapa antes de retornar y se lanza IllegalArgumentException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Retiro mayor al saldo disponible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Saldo negativo en la billetera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Validación previa al descuento con IllegalArgumentException y saldo informado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Conclusiones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Las 23 pruebas unitarias ejecutadas cubren los flujos principales y los casos de error críticos del sistema AlkeWallet. El resultado es satisfactorio con un 100% de pruebas exitosas, lo que valida la correcta implementación de los requerimientos funcionales establecidos por Alkemy.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Los principales aspectos validados son: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Correcta gestión del saldo ante depósitos, retiros y conversiones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íntegro del historial de transacciones con tipo correcto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Manejo robusto de errores con excepciones descriptivas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Conversión de monedas con tasas configurables y validadas</w:t>
      </w:r>
    </w:p>
    <w:sectPr>
      <w:pgSz w:w="11906" w:h="16838" w:orient="portrait"/>
      <w:pgMar w:top="1440" w:right="1000" w:bottom="144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2026-06-22T20:16:44.172Z</dcterms:created>
  <dcterms:modified xsi:type="dcterms:W3CDTF">2026-06-22T20:16:44.173Z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