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 w:line="276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E3A8A"/>
          <w:sz w:val="48"/>
          <w:szCs w:val="48"/>
        </w:rPr>
        <w:t xml:space="preserve">RAPORT COMPARATIV</w:t>
      </w:r>
    </w:p>
    <w:p>
      <w:pPr>
        <w:spacing w:after="180"/>
        <w:jc w:val="center"/>
      </w:pPr>
      <w:r>
        <w:rPr>
          <w:rFonts w:ascii="Calibri" w:cs="Calibri" w:eastAsia="Calibri" w:hAnsi="Calibri"/>
          <w:b/>
          <w:bCs/>
          <w:color w:val="D97706"/>
          <w:sz w:val="32"/>
          <w:szCs w:val="32"/>
        </w:rPr>
        <w:t xml:space="preserve">Mc 001-2006  vs.  Mc 001-2022 + NA 2023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Cămin studențesc UTBv · str. Universității nr. 1, Brașov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Date de intrare din: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Lucrare de disertație — Ing. Ionuț Tunaru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Universitatea Transilvania din Brașov, Facultatea de Construcții, 2019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Conducători științifici: Prof. Dr. Ing. Ioan Tuns · S.L. Dr. Ing. Paraschiva Mizgan</w:t>
      </w:r>
    </w:p>
    <w:p>
      <w:pPr>
        <w:spacing w:after="480" w:before="480"/>
        <w:jc w:val="center"/>
      </w:pPr>
      <w:r>
        <w:rPr>
          <w:rFonts w:ascii="Calibri" w:cs="Calibri" w:eastAsia="Calibri" w:hAnsi="Calibri"/>
          <w:i/>
          <w:iCs/>
          <w:color w:val="D97706"/>
          <w:sz w:val="22"/>
          <w:szCs w:val="22"/>
        </w:rPr>
        <w:t xml:space="preserve">CPE istoric nr. 14 / 20.03.2019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Analiză comparativă generată de: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Zephren Energy Calculator v3.4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conform Mc 001-2022 · NA 2023 · L.238/2024 · SR EN ISO 52120-1:2022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Brașov · 20 aprilie 2026</w:t>
      </w:r>
    </w:p>
    <w:p>
      <w:pPr>
        <w:spacing w:after="100" w:before="600" w:line="276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1. Sumar executiv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</w:rPr>
        <w:t xml:space="preserve">Prezentul raport compară performanța energetică a căminului studențesc din str. Universității nr. 1, Brașov (2S+P+4E, 2950 m², construit în 1997), calculată inițial în 2019 conform Metodologiei Mc 001-2006 (Partea I + II + III) cu aceleași date de intrare recalculate de motorul Zephren v3.4 conform Mc 001-2022 + NA 2023, Legea 238/2024 privind performanța energetică a clădirilor și SR EN ISO 52120-1:2022 pentru factorul BAC.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</w:rPr>
        <w:t xml:space="preserve">Concluzie rapidă: pe aceleași date geometrice și sisteme, tranziția normativă 2006 → 2022 menține consumul total la clasa C (~239 kWh/m²an), însă modifică structura emisiilor de CO₂ (+4,3 %) și a energiei primare (-1,2 %), rescalează clasa de încălzire pentru categoria CP (cămin studențesc) de la B la C, introduce factorii NA 2023, impune verificare nZEB L.238/2024 și SRI ISO 52120.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2. Tabel comparativ — rezultate principale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</w:rPr>
        <w:t xml:space="preserve">Toate cele 3 coloane operează pe aceleași date de intrare (geometrie, anvelopă, sisteme) din dizertația 2019.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1E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pct" w:w="22%"/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Mc 001-2006 (istoric)</w:t>
            </w:r>
          </w:p>
        </w:tc>
        <w:tc>
          <w:tcPr>
            <w:tcW w:type="pct" w:w="22%"/>
            <w:shd w:fill="1E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Mc 001-2022 (Zephren)</w:t>
            </w:r>
          </w:p>
        </w:tc>
        <w:tc>
          <w:tcPr>
            <w:tcW w:type="pct" w:w="22%"/>
            <w:shd w:fill="64748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 [W/K] — pierderi globale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4.798,97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4.798,97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identic (metodologie neschimbată)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   · Hv [W/K] — prin ventilație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2.584,10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2.584,10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identic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   · HT [W/K] — prin transmisie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2.214,87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2.214,87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identic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θ_echilibru [°C]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19,54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19,54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identic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Qh,nd [kWh/an] — necesar încălzire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335.057,8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329.500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-1,7 % (η_aporturi dinamic EN ISO 13790)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Qac [kWh/an] — ACM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346.097,28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346.097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identic (SR EN 15316)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Wil [kWh/an] — iluminat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29.059,8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29.060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identic (LENI EN 15193-1)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q_încălzire [kWh/m²an]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113,58  (B)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111,69  (C)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C2626"/>
                <w:sz w:val="18"/>
                <w:szCs w:val="18"/>
              </w:rPr>
              <w:t xml:space="preserve">⚠ clasă retrogradată B→C (grilă CP)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q_ACM [kWh/m²an]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117,32  (E)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117,32  (E)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identic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q_iluminat [kWh/m²an]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9,85  (A)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9,85  (A)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identic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q_TOTAL [kWh/m²an]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240,74  (C)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238,86  (C)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6A34A"/>
                <w:sz w:val="18"/>
                <w:szCs w:val="18"/>
              </w:rPr>
              <w:t xml:space="preserve">-0,8 %  · clasă păstrată 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Ep [kWh/an] — energie primară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830.638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820.420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-1,2 % (factori NA 2023)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E_CO₂ [kg/an] — emisii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142.252,17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148.320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C2626"/>
                <w:sz w:val="18"/>
                <w:szCs w:val="18"/>
              </w:rPr>
              <w:t xml:space="preserve">+4,3 % (factor electric 0,09→0,299)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I_CO₂ [kg/m²an]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48,22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50,28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C2626"/>
                <w:sz w:val="18"/>
                <w:szCs w:val="18"/>
              </w:rPr>
              <w:t xml:space="preserve">+4,3 %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Nc — nota energetică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100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100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identic (N=100, consum &lt; qTm)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p0 — coef. penalizare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1,10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1,10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identic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SRI [%] — Smart Readiness ISO 52120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 (n/a 2006)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28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97706"/>
                <w:sz w:val="18"/>
                <w:szCs w:val="18"/>
              </w:rPr>
              <w:t xml:space="preserve">NOU · cămin fără BMS → slab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RER [%] — procent regenerabile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 (n/a 2006)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0,0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C2626"/>
                <w:sz w:val="18"/>
                <w:szCs w:val="18"/>
              </w:rPr>
              <w:t xml:space="preserve">NOU · 0 % (fără PV/ST/PC)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Conformitate nZEB (L.238/2024)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 (n/a 2006)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NU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C2626"/>
                <w:sz w:val="18"/>
                <w:szCs w:val="18"/>
              </w:rPr>
              <w:t xml:space="preserve">NOU · nu atinge pragurile nZEB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Rescalare EPBD 2024 (29 mai 2026)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C→D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97706"/>
                <w:sz w:val="18"/>
                <w:szCs w:val="18"/>
              </w:rPr>
              <w:t xml:space="preserve">NOU · clasă C→D după rescalare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3. Date generale clădire (input comun)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pct" w:w="35%"/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Adresă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Str. Universității nr. 1, Brașov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Anul construirii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1997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Categorie Mc 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CP — Cămin studențesc / internat (base ED)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Structură de rezistență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Diafragme BA monolit 30 cm + ETICS EPS 10 cm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Zona climatică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IV  (θ_e = -21 °C)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Arie utilă încălzită [m²]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2950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Volum încălzit [m³]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12.667,20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Arie anvelopă [m²]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3.726,77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Perimetru soclu [m]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140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Unități (locuire)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85 (95 camere, 332 persoane)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Regim de înălțime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2S+P+4E (7 niveluri, 5 încălzite)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4. Anvelopă — rezistențe termice R' corectate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</w:rPr>
        <w:t xml:space="preserve">Rezistențele minime din NA 2023 au crescut semnificativ pentru terasă și placă pe sol. Valorile R' ale clădirii existente (1997, termoizolare inițială 2012) nu respectă pragurile actuale — element evidențiat de motorul Zephren în Step 2 (SmartEnvelopeHub).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1E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pct" w:w="22%"/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R' existent</w:t>
            </w:r>
          </w:p>
        </w:tc>
        <w:tc>
          <w:tcPr>
            <w:tcW w:type="pct" w:w="22%"/>
            <w:shd w:fill="1E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R'_min 2010</w:t>
            </w:r>
          </w:p>
        </w:tc>
        <w:tc>
          <w:tcPr>
            <w:tcW w:type="pct" w:w="22%"/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R'_min NA 2023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Perete exterior opac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1,82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1,80 ✓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6A34A"/>
                <w:sz w:val="20"/>
                <w:szCs w:val="20"/>
              </w:rPr>
              <w:t xml:space="preserve">1,80 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Planșeu terasă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0,95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5,00 ✗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5,00 ✗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Placă pe sol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2,74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4,50 ✗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4,50 ✗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Tâmplărie exterioară (U = 1/R)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0,60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0,77 ✗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0,80 ✗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5. Diferențe cheie normativ Mc 001-2006 → Mc 001-2022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5.1. Factori energie primară (NA 2023)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E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Vector energetic</w:t>
            </w:r>
          </w:p>
        </w:tc>
        <w:tc>
          <w:tcPr>
            <w:tcW w:type="pct" w:w="30%"/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 2006</w:t>
            </w:r>
          </w:p>
        </w:tc>
        <w:tc>
          <w:tcPr>
            <w:tcW w:type="pct" w:w="30%"/>
            <w:shd w:fill="1E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 NA 2023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Gaz natural — f_h,nren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1,10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6A34A"/>
                <w:sz w:val="20"/>
                <w:szCs w:val="20"/>
              </w:rPr>
              <w:t xml:space="preserve">1,10 (identic)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Gaz natural — f_w,nren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1,10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6A34A"/>
                <w:sz w:val="20"/>
                <w:szCs w:val="20"/>
              </w:rPr>
              <w:t xml:space="preserve">1,10 (identic)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Electricitate — f_i,nren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2,80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6A34A"/>
                <w:sz w:val="20"/>
                <w:szCs w:val="20"/>
              </w:rPr>
              <w:t xml:space="preserve">2,00 (-28,6 %)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Electricitate — f_i,ren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0,00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3A8A"/>
                <w:sz w:val="20"/>
                <w:szCs w:val="20"/>
              </w:rPr>
              <w:t xml:space="preserve">0,50 (NOU)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Gaz — f_CO₂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0,205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6A34A"/>
                <w:sz w:val="20"/>
                <w:szCs w:val="20"/>
              </w:rPr>
              <w:t xml:space="preserve">0,205 (identic)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Electricitate — f_CO₂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0,090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0,299 (+232 %)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5.2. Grila de clasificare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</w:rPr>
        <w:t xml:space="preserve">Mc 001-2006 folosește o grilă generică pentru clădiri de locuit (A&lt;70, B 70-117, C 117-173…) aplicată căminelor. Mc 001-2022 introduce grilă separată pe categoria CP (Cămin studențesc / internat), cu praguri distincte pentru încălzire, ACM, răcire, ventilare și iluminat. Căminul UTBv, cu q_înc = 112 kWh/m²an, ajunge la limita B/C pe grila nouă CP, fiind mai sensibil la încadrare.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5.3. Noi indicatori introduși în Mc 001-2022 / L.238/2024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• SRI (Smart Readiness Indicator) conform SR EN ISO 52120-1:2022 — evaluează 54 servicii BMS/BAC. Căminul UTBv nu are automatizare → SRI estimat ≈ 28 % (clasă slabă).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• RER (Renewable Energy Ratio) — procentul de energie din surse regenerabile. Căminul UTBv = 0 % (fără PV, ST, PC, biomasă). Pragul nZEB conform L.238/2024 este ≥ 30 % pentru clădiri publice.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• Verificare nZEB L.238/2024 — pentru clădiri publice &gt; 250 m², obligatoriu din 2019. Căminul NU este nZEB (nu respectă pragurile energetice și RER).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• Rescalare EPBD 2024 — începând cu 29 mai 2026, fondul construit va fi rescalat astfel încât 15 % din clădirile cu cele mai slabe performanțe să devină clasa G. Simulare Zephren: clasa C actuală devine D după rescalare.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• Pașaport de renovare digital (EPBD IV) — obligatoriu pentru clădiri publice din 2026; Zephren generează automat în Step 8.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6. Recomandări tehnice — pachet de reabilitare 2026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</w:rPr>
        <w:t xml:space="preserve">Pe baza calculului Zephren Mc 001-2022 și a obligațiilor L.238/2024, pentru aducerea clădirii la nivel nZEB + conformitate EPBD 2024 se propun următoarele intervenții, ordonate după raport cost-eficiență: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E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pct" w:w="44%"/>
            <w:shd w:fill="1E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Intervenție</w:t>
            </w:r>
          </w:p>
        </w:tc>
        <w:tc>
          <w:tcPr>
            <w:tcW w:type="pct" w:w="30%"/>
            <w:shd w:fill="1E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 R' sau consum</w:t>
            </w:r>
          </w:p>
        </w:tc>
        <w:tc>
          <w:tcPr>
            <w:tcW w:type="pct" w:w="20%"/>
            <w:shd w:fill="1E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Prioritate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Termoizolație terasă +15 cm vată (R' 0,95 → 5,2)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-35 % Qh (-55 kWh/m²an)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CRITICĂ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Înlocuire ferestre PVC → triplu vitraj Low-E (U 1,67 → 0,80)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-12 % Qh + confort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ÎNALTĂ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Izolație placă pe sol perimetrală XPS 10 cm (R' 2,74 → 4,6)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-8 % Qh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ÎNALTĂ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Înlocuire iluminat incandescent → LED + senzori prezență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-75 % Wil (q_il 9,85 → 2,5)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ROI RAPID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Centrală termică gaz condensare (η 0,85 → 0,97)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-14 % consum gaz încălzire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97706"/>
                <w:sz w:val="20"/>
                <w:szCs w:val="20"/>
              </w:rPr>
              <w:t xml:space="preserve">MEDIE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Sistem solar termic ACM (50 colectoare × 2 m² = 100 m²)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-40 % Qac, RER +25 %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97706"/>
                <w:sz w:val="20"/>
                <w:szCs w:val="20"/>
              </w:rPr>
              <w:t xml:space="preserve">MEDIE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PV acoperiș 60 kWp (autoconsum + comunitate energetică)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RER +35 % → nZEB compliant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STRATEGIC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BMS + BACS clasă B (ISO 52120) — senzori, zonare, CO₂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SRI 28 → 65 % · -8 % Qh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3A8A"/>
                <w:sz w:val="20"/>
                <w:szCs w:val="20"/>
              </w:rPr>
              <w:t xml:space="preserve">STRATEGIC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Ventilare mecanică HR η ≥ 80 % (3 UTA modulare)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Confort + q_aer mecanic 5 kWh/m²an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D97706"/>
                <w:sz w:val="20"/>
                <w:szCs w:val="20"/>
              </w:rPr>
              <w:t xml:space="preserve">MEDIE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Țintă după reabilitare (estimare Zephren)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</w:rPr>
        <w:t xml:space="preserve">• q_TOTAL: 240,74 → cca 85-95 kWh/m²an (clasa A)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</w:rPr>
        <w:t xml:space="preserve">• I_CO₂: 50,28 → cca 18-22 kg/m²an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</w:rPr>
        <w:t xml:space="preserve">• RER: 0 % → ≥ 30 % (nZEB conform L.238/2024)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</w:rPr>
        <w:t xml:space="preserve">• SRI: 28 % → 60-70 % (clasă B ISO 52120)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</w:rPr>
        <w:t xml:space="preserve">• Conformitate EPBD 2024 ✓  ·  Pașaport de renovare digital ✓  ·  Jurnal digital al clădirii ✓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7. Legendă coloane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D97706"/>
        </w:rPr>
        <w:t xml:space="preserve">Mc 001-2006 (istoric)</w:t>
      </w:r>
      <w:r>
        <w:rPr>
          <w:rFonts w:ascii="Calibri" w:cs="Calibri" w:eastAsia="Calibri" w:hAnsi="Calibri"/>
          <w:sz w:val="20"/>
          <w:szCs w:val="20"/>
        </w:rPr>
        <w:t xml:space="preserve"> — valorile raportate în CPE nr. 14/20.03.2019, secțiunile A și B din dizertația Ing. Ionuț Tunaru (UTBv 2019). Aceste valori reprezintă baseline-ul istoric, calculate manual conform metodologiei Mc 001-2006 + Ord. MDRT 2513/2010.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E3A8A"/>
        </w:rPr>
        <w:t xml:space="preserve">Mc 001-2022 (Zephren)</w:t>
      </w:r>
      <w:r>
        <w:rPr>
          <w:rFonts w:ascii="Calibri" w:cs="Calibri" w:eastAsia="Calibri" w:hAnsi="Calibri"/>
          <w:sz w:val="20"/>
          <w:szCs w:val="20"/>
        </w:rPr>
        <w:t xml:space="preserve"> — valori recalculate de motorul Zephren v3.4 pe aceleași date geometrice și sisteme, aplicând: Mc 001-2022 (Ord. MDLPA 16/2023), NA 2023 factori energie primară, Legea 238/2024 (cerințe nZEB + penalizări auditor), SR EN ISO 52120-1:2022 pentru SRI, EN ISO 13790 pentru aporturi dinamice, SR EN 15316 pentru ACM, SR EN 15193-1 pentru LENI.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64748B"/>
        </w:rPr>
        <w:t xml:space="preserve">Δ (diferență)</w:t>
      </w:r>
      <w:r>
        <w:rPr>
          <w:rFonts w:ascii="Calibri" w:cs="Calibri" w:eastAsia="Calibri" w:hAnsi="Calibri"/>
          <w:sz w:val="20"/>
          <w:szCs w:val="20"/>
        </w:rPr>
        <w:t xml:space="preserve"> — interpretare diferențială: variație absolută + procentuală + direcție (↗ creștere · ↘ scădere). Codarea culorilor: verde = îmbunătățire (pentru indicator), roșu = înrăutățire, albastru = indicator nou (nu există în 2006).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Document generat automat de </w:t>
      </w:r>
      <w:r>
        <w:rPr>
          <w:rFonts w:ascii="Calibri" w:cs="Calibri" w:eastAsia="Calibri" w:hAnsi="Calibri"/>
          <w:b/>
          <w:bCs/>
          <w:color w:val="1E3A8A"/>
          <w:sz w:val="18"/>
          <w:szCs w:val="18"/>
        </w:rPr>
        <w:t xml:space="preserve">Zephren Energy Calculator v3.4 </w:t>
      </w: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· 20 aprilie 2026 · DOCX A4 portret conform standard proiect.</w:t>
      </w: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Template import: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public/demo-camin-brasov.json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·  Șablon Zephren: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DEMO_PROJECTS[0] · demo-0-camin-brasov-1997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Pagina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din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Zephren · Raport comparativ Cămin UTBv · 2019 vs.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comparativ Mc 001-2006 vs. Mc 001-2022 — Cămin studențesc UTBv Brașov</dc:title>
  <dc:creator>Zephren Energy Calculator v3.4</dc:creator>
  <dc:description>Analiză comparativă a performanței energetice pentru căminul studențesc din str. Universității nr. 1 Brașov, între metodologia istorică Mc 001-2006 (CPE 2019) și cea actuală Mc 001-2022 + NA 2023 + L.238/2024 (motor Zephren).</dc:description>
  <cp:lastModifiedBy>Un-named</cp:lastModifiedBy>
  <cp:revision>1</cp:revision>
  <dcterms:created xsi:type="dcterms:W3CDTF">2026-04-20T09:45:02.217Z</dcterms:created>
  <dcterms:modified xsi:type="dcterms:W3CDTF">2026-04-20T09:45:02.218Z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