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LABOR LAW REVIEW 1 — REVIEWER WITH CASE DIGESTS (v19)</w:t>
      </w:r>
    </w:p>
    <w:p>
      <w:r>
        <w:rPr>
          <w:b/>
        </w:rPr>
        <w:t>CORRECTED DIGESTS — BAR Q&amp;A FORM</w:t>
      </w:r>
    </w:p>
    <w:p>
      <w:r>
        <w:rPr>
          <w:b w:val="0"/>
        </w:rPr>
        <w:t>16 entries rewritten from the decisions  ·  4 October 2026</w:t>
      </w:r>
    </w:p>
    <w:p>
      <w:r>
        <w:rPr>
          <w:b w:val="0"/>
        </w:rPr>
        <w:t>These are the entries the Revision 5 audit found defective, rewritten against the text of each decision. Nothing else from the reviewer is reproduced here. Each carries a one-line note of what it corrects, so it can be matched to the paragraph it replaces.</w:t>
      </w:r>
    </w:p>
    <w:p>
      <w:r>
        <w:rPr>
          <w:b w:val="0"/>
        </w:rPr>
        <w:t>____________________________________________________________________________________________</w:t>
      </w:r>
    </w:p>
    <w:p>
      <w:r>
        <w:rPr>
          <w:b/>
        </w:rPr>
        <w:t>1.  Bernardo v. NLRC, G.R. No. 122917, July 12, 1999 (Third Division)</w:t>
      </w:r>
    </w:p>
    <w:p>
      <w:r>
        <w:rPr>
          <w:b w:val="0"/>
        </w:rPr>
        <w:t>Replaces paragraphs 1191–1200  ·  Part V — Handicapped Workers</w:t>
      </w:r>
    </w:p>
    <w:p>
      <w:r>
        <w:rPr>
          <w:b w:val="0"/>
        </w:rPr>
        <w:t>Q:  Between 1988 and 1993 Far East Bank hired 43 deaf-mutes as Money Sorters and Counters under a uniformly worded "Employment Contract for Handicapped Workers," renewed every six months. When the bank stopped renewing, they sued for illegal dismissal and claimed regular status. Are all 43 regular employees?</w:t>
      </w:r>
    </w:p>
    <w:p>
      <w:r>
        <w:rPr>
          <w:b w:val="0"/>
        </w:rPr>
        <w:t>A:  No — only those whose service, through successive renewals, ran past six months. The task of counting and sorting bills is necessary and desirable to the bank's business, and under Art. 280 (now Art. 295) an employee allowed to work beyond six months on renewed contracts is regular as to that activity. In the Court's words: "With the exception of sixteen of them, petitioners performed these tasks for more than six months. Thus, the following twenty-seven petitioners should be deemed regular employees." Sec. 5 of R.A. 7277 reinforces the result: a qualified disabled employee is subject to the same terms and conditions as a qualified able-bodied person, and the repeated renewals show their services were satisfactory. The petition was GRANTED, the NLRC reversed, and Far East Bank ordered to pay back wages and separation pay to the 27 named petitioners. The other 16 obtained nothing.</w:t>
      </w:r>
    </w:p>
    <w:p>
      <w:pPr>
        <w:pStyle w:val="ListBullet"/>
      </w:pPr>
      <w:r>
        <w:rPr>
          <w:b w:val="0"/>
        </w:rPr>
        <w:t>The operative fact is the renewal beyond six months — not the disability, and not that money-sorting is necessary to a bank. A problem built on this case is a split-holding problem.</w:t>
      </w:r>
    </w:p>
    <w:p>
      <w:pPr>
        <w:pStyle w:val="ListBullet"/>
      </w:pPr>
      <w:r>
        <w:rPr>
          <w:b w:val="0"/>
        </w:rPr>
        <w:t>Frame the issue as "which of them became regular," not "are they regular."</w:t>
      </w:r>
    </w:p>
    <w:p>
      <w:r>
        <w:rPr>
          <w:b w:val="0"/>
        </w:rPr>
        <w:t>Corrects in v19:  the blanket answer and conclusion at pars. 1194 and 1200, which gave regular status to all 43.</w:t>
      </w:r>
    </w:p>
    <w:p>
      <w:r>
        <w:rPr>
          <w:b w:val="0"/>
        </w:rPr>
      </w:r>
    </w:p>
    <w:p>
      <w:r>
        <w:rPr>
          <w:b/>
        </w:rPr>
        <w:t>2.  Buenaflor v. Stolt-Nielsen Philippines, Inc., G.R. No. 221664, June 27, 2022 (Second Division)</w:t>
      </w:r>
    </w:p>
    <w:p>
      <w:r>
        <w:rPr>
          <w:b w:val="0"/>
        </w:rPr>
        <w:t>Replaces paragraphs 639–648  ·  Termination of Employment of Migrant Workers</w:t>
      </w:r>
    </w:p>
    <w:p>
      <w:r>
        <w:rPr>
          <w:b w:val="0"/>
        </w:rPr>
        <w:t>Q:  Buenaflor was hired on July 8, 2010 as Second Officer and signed on the vessel on July 25, 2010. Two days later, on July 27, MARPOL inspectors boarded for a routine inspection at Rotterdam, and the captain berated him in front of the chief officer. On August 22, 2010 he was verbally told he would be sent home for incompetence, and he was repatriated on August 26, 2010. The employer relied on a logbook entry dated July 29, 2010 and on sworn statements of two officers. Was he validly dismissed?</w:t>
      </w:r>
    </w:p>
    <w:p>
      <w:r>
        <w:rPr>
          <w:b w:val="0"/>
        </w:rPr>
        <w:t>A:  No. The employer carries the burden of proving just cause by substantial evidence, and under Sec. 17 of the POEA-SEC a seafarer may be dismissed only after written notice of the charge and an opportunity to explain. Both failed here. The logbook entry's authenticity did not hold up — there was an unexplained gap and a blank space between the July 29 entry and the next entry of September 4, which is not the usual mode of making entries — and the officers put forward as witnesses had already signed off the vessel and could not have witnessed what they attested to. No written charge was served and no investigation was held. The petition was GRANTED, the Court of Appeals reversed, and the NLRC and Labor Arbiter rulings affirmed with modification: Buenaflor was illegally dismissed.</w:t>
      </w:r>
    </w:p>
    <w:p>
      <w:pPr>
        <w:pStyle w:val="ListBullet"/>
      </w:pPr>
      <w:r>
        <w:rPr>
          <w:b w:val="0"/>
        </w:rPr>
        <w:t>The dismissal was about a month into the engagement, not two days. What happened two days after sign-on was the inspection.</w:t>
      </w:r>
    </w:p>
    <w:p>
      <w:pPr>
        <w:pStyle w:val="ListBullet"/>
      </w:pPr>
      <w:r>
        <w:rPr>
          <w:b w:val="0"/>
        </w:rPr>
        <w:t>The holding rests on failure of proof, not on a rule that one incident can never establish incompetence.</w:t>
      </w:r>
    </w:p>
    <w:p>
      <w:r>
        <w:rPr>
          <w:b w:val="0"/>
        </w:rPr>
        <w:t>Corrects in v19:  the Facts and the [APPLICATION] at pars. 640 and 646, which placed the dismissal two days after boarding and rested the ruling on the "single incident" reasoning.</w:t>
      </w:r>
    </w:p>
    <w:p>
      <w:r>
        <w:rPr>
          <w:b w:val="0"/>
        </w:rPr>
      </w:r>
    </w:p>
    <w:p>
      <w:r>
        <w:rPr>
          <w:b/>
        </w:rPr>
        <w:t>3.  Jose Rizal College v. NLRC, G.R. No. L-65482, December 1, 1987</w:t>
      </w:r>
    </w:p>
    <w:p>
      <w:r>
        <w:rPr>
          <w:b w:val="0"/>
        </w:rPr>
        <w:t>Replaces paragraph 1974  ·  Holiday Pay</w:t>
      </w:r>
    </w:p>
    <w:p>
      <w:r>
        <w:rPr>
          <w:b w:val="0"/>
        </w:rPr>
        <w:t>Q:  Are the faculty and personnel of a private school entitled to holiday pay, and does the answer differ according to how they are paid?</w:t>
      </w:r>
    </w:p>
    <w:p>
      <w:r>
        <w:rPr>
          <w:b w:val="0"/>
        </w:rPr>
        <w:t>A:  It differs by mode of payment, and for hourly-paid faculty the school is exempt as to regular holidays throughout the year. The disposition: the school is exempt "from paying hourly paid faculty members their pay for regular holidays, whether the same be during the regular semesters of the school year or during semestral, Christmas, or Holy Week vacations" — because they are paid only for hours actually taught and regular holidays are excluded in the programming of student contact hours. But the school was "ordered to pay said faculty members their regular hourly rate on days declared as special holidays or for some reason classes are called off or shortened for the hours they are supposed to have taught, whether extensions of class days be ordered or not," and to pay them for teaching during any such extensions.</w:t>
      </w:r>
    </w:p>
    <w:p>
      <w:pPr>
        <w:pStyle w:val="ListBullet"/>
      </w:pPr>
      <w:r>
        <w:rPr>
          <w:b w:val="0"/>
        </w:rPr>
        <w:t>Monthly-paid faculty and personnel, paid uniformly through the school year without deduction for holidays, are presumed already paid the 10 legal holidays and get no separate payment.</w:t>
      </w:r>
    </w:p>
    <w:p>
      <w:pPr>
        <w:pStyle w:val="ListBullet"/>
      </w:pPr>
      <w:r>
        <w:rPr>
          <w:b w:val="0"/>
        </w:rPr>
        <w:t>Daily-paid personnel are entitled to the 10 unworked regular holidays under the IRR.</w:t>
      </w:r>
    </w:p>
    <w:p>
      <w:pPr>
        <w:pStyle w:val="ListBullet"/>
      </w:pPr>
      <w:r>
        <w:rPr>
          <w:b w:val="0"/>
        </w:rPr>
        <w:t>The rule that teachers are paid during the Christmas vacation comes from the line of cases on monthly-paid school personnel. It is not this case, and this case is the other way for hourly-paid faculty.</w:t>
      </w:r>
    </w:p>
    <w:p>
      <w:r>
        <w:rPr>
          <w:b w:val="0"/>
        </w:rPr>
        <w:t>Corrects in v19:  par. 1974, which said hourly-paid faculty are entitled during Christmas vacation and omitted the special-holiday limb entirely.</w:t>
      </w:r>
    </w:p>
    <w:p>
      <w:r>
        <w:rPr>
          <w:b w:val="0"/>
        </w:rPr>
      </w:r>
    </w:p>
    <w:p>
      <w:r>
        <w:rPr>
          <w:b/>
        </w:rPr>
        <w:t>4.  Padilla v. Airborne Security Service, Inc., G.R. No. 210080, November 22, 2017</w:t>
      </w:r>
    </w:p>
    <w:p>
      <w:r>
        <w:rPr>
          <w:b w:val="0"/>
        </w:rPr>
        <w:t>Replaces paragraphs 1381–1390  ·  Security Guards / floating status</w:t>
      </w:r>
    </w:p>
    <w:p>
      <w:r>
        <w:rPr>
          <w:b w:val="0"/>
        </w:rPr>
        <w:t>Q:  Padilla had been a security guard since 1986. He was relieved from his post in 2009 and told to await reassignment. He was repeatedly told there was no post for him, that his age made reassignment difficult, and that he should resign. More than six months passed. Was he constructively dismissed, and what is he entitled to?</w:t>
      </w:r>
    </w:p>
    <w:p>
      <w:r>
        <w:rPr>
          <w:b w:val="0"/>
        </w:rPr>
        <w:t>A:  Yes, constructively dismissed. Placing a guard on floating status is a management prerogative only for a period not exceeding six months under Art. 301; beyond that the guard is deemed constructively dismissed, and age alone is not a valid ground to withhold reassignment. The relief, however, is not reinstatement. The petition was GRANTED and Airborne ordered to pay: (1) full backwages and other benefits computed from the date of illegal termination until finality; (2) separation pay computed from the date employment commenced until finality, at one month's salary for every year of service, a fraction of at least six months counted as one whole year; and (3) attorney's fees of ten percent of the total award.</w:t>
      </w:r>
    </w:p>
    <w:p>
      <w:pPr>
        <w:pStyle w:val="ListBullet"/>
      </w:pPr>
      <w:r>
        <w:rPr>
          <w:b w:val="0"/>
        </w:rPr>
        <w:t>Separation pay in lieu of reinstatement is the point to carry from this case, given the guard's age and length of service.</w:t>
      </w:r>
    </w:p>
    <w:p>
      <w:r>
        <w:rPr>
          <w:b w:val="0"/>
        </w:rPr>
        <w:t>Corrects in v19:  the [CONCLUSION] at par. 1390, which said he was entitled to reinstatement.</w:t>
      </w:r>
    </w:p>
    <w:p>
      <w:r>
        <w:rPr>
          <w:b w:val="0"/>
        </w:rPr>
      </w:r>
    </w:p>
    <w:p>
      <w:r>
        <w:rPr>
          <w:b/>
        </w:rPr>
        <w:t>5.  Salenga v. Court of Appeals, G.R. No. 174941, February 1, 2012 (Second Division)</w:t>
      </w:r>
    </w:p>
    <w:p>
      <w:r>
        <w:rPr>
          <w:b w:val="0"/>
        </w:rPr>
        <w:t>Replaces paragraphs 1595–1604  ·  GOCCs without original charter / jurisdiction</w:t>
      </w:r>
    </w:p>
    <w:p>
      <w:r>
        <w:rPr>
          <w:b w:val="0"/>
        </w:rPr>
        <w:t>Q:  Salenga was head executive assistant of Clark Development Corporation, a GOCC without an original charter, and was separated under an early separation/redundancy program offered to its managers. CDC's appeal to the NLRC was filed by counsel without a board resolution. Is Salenga a corporate officer whose dismissal is an intra-corporate controversy, and what was the outcome?</w:t>
      </w:r>
    </w:p>
    <w:p>
      <w:r>
        <w:rPr>
          <w:b w:val="0"/>
        </w:rPr>
        <w:t>A:  He is not a corporate officer. Corporate officers are only those given that character by the Corporation Code or by the corporation's articles or by-laws; Salenga, a managerial employee, is none of these. CDC was organised under the Corporation Code and has no original charter, so its employees are covered by the Labor Code and the dispute belongs to the labor tribunals, not to an intra-corporate forum. CDC's appeal, filed without board authority, was not perfected. The disposition: the petition was PARTIALLY GRANTED; the Labor Arbiter's decision was REINSTATED only insofar as the corporation's liability is concerned; Rufo Colayco was held not solidarily liable because the action was not maintained against him; and the case was REMANDED to the Labor Arbiter for computation of Salenga's retirement benefits under R.A. 8282, deducting the sums already paid by CDC, with legal interest of 6% per annum on any remainder.</w:t>
      </w:r>
    </w:p>
    <w:p>
      <w:pPr>
        <w:pStyle w:val="ListBullet"/>
      </w:pPr>
      <w:r>
        <w:rPr>
          <w:b w:val="0"/>
        </w:rPr>
        <w:t>A failure to perfect an appeal does not necessarily end the case: here it fixed liability but left the amount to be computed on remand.</w:t>
      </w:r>
    </w:p>
    <w:p>
      <w:r>
        <w:rPr>
          <w:b w:val="0"/>
        </w:rPr>
        <w:t>Corrects in v19:  the [CONCLUSION] at par. 1604, which said the Labor Arbiter's decision "became final."</w:t>
      </w:r>
    </w:p>
    <w:p>
      <w:r>
        <w:rPr>
          <w:b w:val="0"/>
        </w:rPr>
      </w:r>
    </w:p>
    <w:p>
      <w:r>
        <w:rPr>
          <w:b/>
        </w:rPr>
        <w:t>6.  The two-tiered test — Ditiangkin v. Lazada E-Services Philippines, Inc., G.R. No. 246892, September 21, 2022</w:t>
      </w:r>
    </w:p>
    <w:p>
      <w:r>
        <w:rPr>
          <w:b w:val="0"/>
        </w:rPr>
        <w:t>Replaces the RULING/ANSWER at paragraph 1444  ·  Tests for the Employer-Employee Relationship</w:t>
      </w:r>
    </w:p>
    <w:p>
      <w:r>
        <w:rPr>
          <w:b w:val="0"/>
        </w:rPr>
        <w:t>Q:  What test does the Court apply to determine the existence of an employer-employee relationship where the worker has signed an agreement calling him an independent contractor?</w:t>
      </w:r>
    </w:p>
    <w:p>
      <w:r>
        <w:rPr>
          <w:b w:val="0"/>
        </w:rPr>
        <w:t>A:  The two-tiered test, and both tiers are applied. In the Court's words: "To determine the existence of an employer-employee relationship, this Court employs a two-tiered test: the four-fold test and the economic dependence test." The first tier is the four-fold test — the employer's selection and engagement of the employee, the payment of wages, the power to dismiss, and the power of control. The second is economic dependence: "whether the worker is dependent on the alleged employer for his continued employment in that line of business," weighing his investment in facilities, the degree of his dependency, his integration into the business, and his opportunity for profit or loss. The economic tier supplements the four-fold test where control is not decisive; it does not replace it. Applied to the Lazada riders, the petition was GRANTED and the riders ordered reinstated.</w:t>
      </w:r>
    </w:p>
    <w:p>
      <w:pPr>
        <w:pStyle w:val="ListBullet"/>
      </w:pPr>
      <w:r>
        <w:rPr>
          <w:b w:val="0"/>
        </w:rPr>
        <w:t>The two tiers are not "the nature of the employer's business" and "the involvement of the employee in it." Those are factors weighed inside the economic-dependence tier.</w:t>
      </w:r>
    </w:p>
    <w:p>
      <w:pPr>
        <w:pStyle w:val="ListBullet"/>
      </w:pPr>
      <w:r>
        <w:rPr>
          <w:b w:val="0"/>
        </w:rPr>
        <w:t>The reviewer states the test correctly at pars. 2793–2798 and 2909. Those passages need no change.</w:t>
      </w:r>
    </w:p>
    <w:p>
      <w:r>
        <w:rPr>
          <w:b w:val="0"/>
        </w:rPr>
        <w:t>Corrects in v19:  par. 1444, which said the Court used the economic reality test instead of the four-fold test, and misdescribed the two tiers.</w:t>
      </w:r>
    </w:p>
    <w:p>
      <w:r>
        <w:rPr>
          <w:b w:val="0"/>
        </w:rPr>
      </w:r>
    </w:p>
    <w:p>
      <w:r>
        <w:rPr>
          <w:b/>
        </w:rPr>
        <w:t>7.  Felicilda v. Uy, G.R. No. 221241, September 14, 2016 (First Division)</w:t>
      </w:r>
    </w:p>
    <w:p>
      <w:r>
        <w:rPr>
          <w:b w:val="0"/>
        </w:rPr>
        <w:t>Replaces the RULING/ANSWER at paragraph 2909  ·  Drivers</w:t>
      </w:r>
    </w:p>
    <w:p>
      <w:r>
        <w:rPr>
          <w:b w:val="0"/>
        </w:rPr>
        <w:t>Q:  Felicilda drove a truck for Gold Pillars Trucking, was issued a company identification card, was assigned to a branch, and was paid on a percentage basis per trip. He was dismissed after napping at the workstation while waiting for his truck to be loaded. The employer denied any employment relationship, arguing that he was paid only per trip, was free to offer his services elsewhere, and was not controlled in how he did the work. Is the defence tenable?</w:t>
      </w:r>
    </w:p>
    <w:p>
      <w:r>
        <w:rPr>
          <w:b w:val="0"/>
        </w:rPr>
        <w:t>A:  No. The Court applied the four-fold test and resolved the case on control, holding that actual supervision is not required for the element of control to exist — it is enough that the employer retains the right to control the means and methods. Control appeared in the fixed routes, the instructions on where to deliver and how the goods were to be stacked, and the prescribed time to return the truck. Payment on a per-trip or percentage basis is a mode of computing compensation and does not negate the relationship. Freedom to drive for others is weighed within the control analysis, not a reason to abandon it. The petition was GRANTED, the Court of Appeals reversed, and the NLRC ruling that he was illegally dismissed reinstated.</w:t>
      </w:r>
    </w:p>
    <w:p>
      <w:pPr>
        <w:pStyle w:val="ListBullet"/>
      </w:pPr>
      <w:r>
        <w:rPr>
          <w:b w:val="0"/>
        </w:rPr>
        <w:t>The decision does not apply an economic reality test. The phrases "economic reality" and "economic dependence" do not appear in it.</w:t>
      </w:r>
    </w:p>
    <w:p>
      <w:pPr>
        <w:pStyle w:val="ListBullet"/>
      </w:pPr>
      <w:r>
        <w:rPr>
          <w:b w:val="0"/>
        </w:rPr>
        <w:t>The same point on per-trip pay is made in Upod v. Onon Trucking, G.R. No. 248299, July 14, 2021.</w:t>
      </w:r>
    </w:p>
    <w:p>
      <w:r>
        <w:rPr>
          <w:b w:val="0"/>
        </w:rPr>
        <w:t>Corrects in v19:  the first two sentences of par. 2909, which said the economic reality test applied instead of the four-fold test.</w:t>
      </w:r>
    </w:p>
    <w:p>
      <w:r>
        <w:rPr>
          <w:b w:val="0"/>
        </w:rPr>
      </w:r>
    </w:p>
    <w:p>
      <w:r>
        <w:rPr>
          <w:b/>
        </w:rPr>
        <w:t>8.  Paz v. Northern Tobacco Redrying Co., Inc., G.R. No. 199554, February 18, 2015</w:t>
      </w:r>
    </w:p>
    <w:p>
      <w:r>
        <w:rPr>
          <w:b w:val="0"/>
        </w:rPr>
        <w:t>Replaces paragraphs 991–1000  ·  Part V — Seasonal Employees</w:t>
      </w:r>
    </w:p>
    <w:p>
      <w:r>
        <w:rPr>
          <w:b w:val="0"/>
        </w:rPr>
        <w:t>Q:  Paz worked as a sorter every tobacco season from 1974 to 2003, rehired each season. At 63 she was told she was retired under company policy and was later offered ₱12,000. She filed a complaint, which she amended into a claim for retirement benefits, damages and attorney's fees. What is her status, and what is she entitled to?</w:t>
      </w:r>
    </w:p>
    <w:p>
      <w:r>
        <w:rPr>
          <w:b w:val="0"/>
        </w:rPr>
        <w:t>A:  She is a regular seasonal employee: she was repeatedly rehired for nearly three decades in work indispensable to the employer's tobacco operation, which brings her within the protection of Art. 279 (now 294). The employer did not prove a valid retirement plan, CBA or enforceable company policy, and the retirement at 63 was not voluntary; it was effected without the required due process. The Court of Appeals decision was AFFIRMED with MODIFICATION, and Northern Tobacco ordered to pay five items: (1) ₱22,200.00 as full backwages; (2) ₱30,000.00 as nominal damages for non-compliance with due process; (3) ₱12,487.50 as retirement pay; (4) ₱60,356.25 as financial assistance; and (5) ₱2,664.00 as legal interest.</w:t>
      </w:r>
    </w:p>
    <w:p>
      <w:pPr>
        <w:pStyle w:val="ListBullet"/>
      </w:pPr>
      <w:r>
        <w:rPr>
          <w:b w:val="0"/>
        </w:rPr>
        <w:t>The nominal damages are the tell: they are awarded for want of due process, which shows the Court treated the "retirement" as a termination effected without notice.</w:t>
      </w:r>
    </w:p>
    <w:p>
      <w:pPr>
        <w:pStyle w:val="ListBullet"/>
      </w:pPr>
      <w:r>
        <w:rPr>
          <w:b w:val="0"/>
        </w:rPr>
        <w:t>The financial assistance is larger than the retirement pay itself, and is the item a question on this case is most likely to reach.</w:t>
      </w:r>
    </w:p>
    <w:p>
      <w:r>
        <w:rPr>
          <w:b w:val="0"/>
        </w:rPr>
        <w:t>Corrects in v19:  the [CONCLUSION] at par. 1000, which gave only the Art. 302 computation.</w:t>
      </w:r>
    </w:p>
    <w:p>
      <w:r>
        <w:rPr>
          <w:b w:val="0"/>
        </w:rPr>
      </w:r>
    </w:p>
    <w:p>
      <w:r>
        <w:rPr>
          <w:b/>
        </w:rPr>
        <w:t>9.  Philippine Telegraph and Telephone Co. v. NLRC, G.R. No. 118978, May 23, 1997</w:t>
      </w:r>
    </w:p>
    <w:p>
      <w:r>
        <w:rPr>
          <w:b w:val="0"/>
        </w:rPr>
        <w:t>Replaces paragraphs 1291–1300  ·  Women Workers / stipulation against marriage</w:t>
      </w:r>
    </w:p>
    <w:p>
      <w:r>
        <w:rPr>
          <w:b w:val="0"/>
        </w:rPr>
        <w:t>Q:  De Guzman declared herself single in her job application although she had married some months earlier. PT&amp;T dismissed her under its policy against employing married women, charging her also with dishonesty for the concealment. Was the dismissal valid, and what relief follows?</w:t>
      </w:r>
    </w:p>
    <w:p>
      <w:r>
        <w:rPr>
          <w:b w:val="0"/>
        </w:rPr>
        <w:t>A:  The dismissal is illegal. Art. 136 (now Art. 134) makes it unlawful for an employer to require as a condition of employment that a woman shall not get married, or to dismiss or discriminate against her by reason of marriage; such a policy is void and must be interdicted "in all its indirect, disguised or dissembled forms." The relief, however, is qualified. Because she "undeniably committed an act of dishonesty in concealing her status, albeit under the compulsion of an unlawful imposition of petitioner, the three-month suspension imposed by respondent NLRC must be upheld to obviate the impression or inference that such act should be condoned," and her backwages "shall be reduced by deducting therefrom the amount corresponding to her three months suspension." PT&amp;T's petition was DISMISSED for lack of merit, with double costs. The result is reinstatement with backwages, less three months.</w:t>
      </w:r>
    </w:p>
    <w:p>
      <w:pPr>
        <w:pStyle w:val="ListBullet"/>
      </w:pPr>
      <w:r>
        <w:rPr>
          <w:b w:val="0"/>
        </w:rPr>
        <w:t>An unlawful policy does not excuse the employee's own dishonesty; it only explains it. The Court weighed both.</w:t>
      </w:r>
    </w:p>
    <w:p>
      <w:r>
        <w:rPr>
          <w:b w:val="0"/>
        </w:rPr>
        <w:t>Corrects in v19:  the [CONCLUSION] at par. 1300, which stopped at "her dismissal was illegal."</w:t>
      </w:r>
    </w:p>
    <w:p>
      <w:r>
        <w:rPr>
          <w:b w:val="0"/>
        </w:rPr>
      </w:r>
    </w:p>
    <w:p>
      <w:r>
        <w:rPr>
          <w:b/>
        </w:rPr>
        <w:t>10.  Grand Asian Shipping Lines, Inc. v. Galvez, G.R. No. 178184, January 29, 2014</w:t>
      </w:r>
    </w:p>
    <w:p>
      <w:r>
        <w:rPr>
          <w:b w:val="0"/>
        </w:rPr>
        <w:t>Replaces paragraphs 2298–2307  ·  Hours of Work / field personnel</w:t>
      </w:r>
    </w:p>
    <w:p>
      <w:r>
        <w:rPr>
          <w:b w:val="0"/>
        </w:rPr>
        <w:t>Q:  A crewman reported that after four to five voyages a week a substantial volume of fuel oil went unconsumed, that the chief engineer misdeclared it as consumed in the Engineer's Voyage Reports, and that the saved fuel was siphoned and sold to other vessels at sea with the proceeds divided among the crew. The crew were dismissed and also claimed unpaid salaries, salary differentials, and holiday, rest day and overtime pay. The company argued the crew were field personnel and the captain a managerial employee. Resolve.</w:t>
      </w:r>
    </w:p>
    <w:p>
      <w:r>
        <w:rPr>
          <w:b w:val="0"/>
        </w:rPr>
        <w:t>A:  The case resolves in three parts. On the dismissals: Wilfredo Galvez and Cristito Gruta were declared dismissed for just cause; Joel Sales was found not to have been dismissed at all; and Danilo Arguelles, Renato Batayola, Patricio Fresmillo, Jovy Noble, Emilio Dominico, Benny Nilmao and Jose Austral were declared illegally dismissed, with reinstatement, full backwages and 13th month pay for the period of dismissal. On status: the crew are not field personnel — their hours on board can be determined with reasonable certainty — so they are entitled to holiday, rest day, premium and service incentive leave pay; the captain, exercising managerial functions, is excluded from those benefits under Art. 82. On the money: unpaid salaries for February 16–29, 2000 were awarded to Galvez and seven others; salary differentials plus double indemnity under R.A. 8188 were awarded to six of them; ten percent attorney's fees were added, with six percent interest from finality.</w:t>
      </w:r>
    </w:p>
    <w:p>
      <w:pPr>
        <w:pStyle w:val="ListBullet"/>
      </w:pPr>
      <w:r>
        <w:rPr>
          <w:b w:val="0"/>
        </w:rPr>
        <w:t>Double indemnity was imposed here. Compare Marby Food Ventures Corp. v. Dela Cruz, G.R. No. 244629, July 28, 2020, where the double-indemnity penalty was expressly DELETED — the two are worth reading together.</w:t>
      </w:r>
    </w:p>
    <w:p>
      <w:pPr>
        <w:pStyle w:val="ListBullet"/>
      </w:pPr>
      <w:r>
        <w:rPr>
          <w:b w:val="0"/>
        </w:rPr>
        <w:t>The captain lost the premium-pay items and his dismissal, but still recovered unpaid salaries.</w:t>
      </w:r>
    </w:p>
    <w:p>
      <w:r>
        <w:rPr>
          <w:b w:val="0"/>
        </w:rPr>
        <w:t>Corrects in v19:  the Facts and the [CONCLUSION] at pars. 2299 and 2307, which omitted the dismissals and said the captain was entitled to nothing.</w:t>
      </w:r>
    </w:p>
    <w:p>
      <w:r>
        <w:rPr>
          <w:b w:val="0"/>
        </w:rPr>
      </w:r>
    </w:p>
    <w:p>
      <w:r>
        <w:rPr>
          <w:b/>
        </w:rPr>
        <w:t>11.  Millares and Lagda v. NLRC, G.R. No. 110524, July 29, 2002 (Resolution, Special First Division)</w:t>
      </w:r>
    </w:p>
    <w:p>
      <w:r>
        <w:rPr>
          <w:b w:val="0"/>
        </w:rPr>
        <w:t>Replaces paragraphs 660–669  ·  Seafarers</w:t>
      </w:r>
    </w:p>
    <w:p>
      <w:r>
        <w:rPr>
          <w:b w:val="0"/>
        </w:rPr>
        <w:t>Q:  Millares and Lagda were hired by Esso through a local manning agency under successive contracts for about 20 years. When they were not rehired they claimed they had become regular employees entitled to separation and retirement benefits. Did they attain regular status, and did they recover anything?</w:t>
      </w:r>
    </w:p>
    <w:p>
      <w:r>
        <w:rPr>
          <w:b w:val="0"/>
        </w:rPr>
        <w:t>A:  They did not attain regular status. Seafarers are contractual employees; their employment is governed by the POEA-SEC and the contract signed for each engagement, and it ends on the expiration of that contract. Their designation as "permanent" meant only that they were eligible for rehiring. They were not, however, left with nothing. The Court "Resolved to Partially GRANT Private Respondent's Second Motion for Reconsideration ... The Decision of the National Labor Relations Commission dated June 1, 1993 is hereby REINSTATED with MODIFICATION," and Trans-Global Maritime Agency and Esso International Shipping were ordered jointly and severally to pay them "One Hundred Percent (100%) of their total credited contributions as provided under the Consecutive Enlistment Incentive Plan (CEIP)."</w:t>
      </w:r>
    </w:p>
    <w:p>
      <w:pPr>
        <w:pStyle w:val="ListBullet"/>
      </w:pPr>
      <w:r>
        <w:rPr>
          <w:b w:val="0"/>
        </w:rPr>
        <w:t>This 2002 Resolution reversed the Court's own decision of March 14, 2000 in the same case, which had ordered reinstatement and full backwages. A reader who finds the 2000 decision first will get the opposite answer.</w:t>
      </w:r>
    </w:p>
    <w:p>
      <w:pPr>
        <w:pStyle w:val="ListBullet"/>
      </w:pPr>
      <w:r>
        <w:rPr>
          <w:b w:val="0"/>
        </w:rPr>
        <w:t>The CEIP award is the practical answer to what a long-serving seafarer recovers if not regular status.</w:t>
      </w:r>
    </w:p>
    <w:p>
      <w:r>
        <w:rPr>
          <w:b w:val="0"/>
        </w:rPr>
        <w:t>Corrects in v19:  the [CONCLUSION] at par. 669, which read as a total loss.</w:t>
      </w:r>
    </w:p>
    <w:p>
      <w:r>
        <w:rPr>
          <w:b w:val="0"/>
        </w:rPr>
      </w:r>
    </w:p>
    <w:p>
      <w:r>
        <w:rPr>
          <w:b/>
        </w:rPr>
        <w:t>12.  Minsola v. New City Builders, Inc., G.R. No. 207613, January 31, 2018 (Second Division)</w:t>
      </w:r>
    </w:p>
    <w:p>
      <w:r>
        <w:rPr>
          <w:b w:val="0"/>
        </w:rPr>
        <w:t>Replaces paragraphs 866–875  ·  Project Employees</w:t>
      </w:r>
    </w:p>
    <w:p>
      <w:r>
        <w:rPr>
          <w:b w:val="0"/>
        </w:rPr>
        <w:t>Q:  Minsola was hired as a laborer for the structural phase of a condominium project, terminated when that phase was completed, then rehired as a mason for the architectural phase of the same project. He claimed regular status after more than a year of service and sued for illegal dismissal with money claims. Resolve.</w:t>
      </w:r>
    </w:p>
    <w:p>
      <w:r>
        <w:rPr>
          <w:b w:val="0"/>
        </w:rPr>
        <w:t>A:  He is a project employee. He was informed in writing of the project-limited nature and the duration of each engagement, and neither length of service nor repeated rehiring converts a construction project employee into a regular one. The illegal dismissal complaint was dismissed. But the petition was partly granted on the money claims: New City Builders was ordered to pay him "his salary differentials, service incentive leave pay differentials, holiday pay, and ten percent attorney's fees, in addition to his 13th month pay differential awarded by the appellate court."</w:t>
      </w:r>
    </w:p>
    <w:p>
      <w:pPr>
        <w:pStyle w:val="ListBullet"/>
      </w:pPr>
      <w:r>
        <w:rPr>
          <w:b w:val="0"/>
        </w:rPr>
        <w:t>Losing on status does not lose the labor-standards claims. A project employee validly separated still recovers wage and benefit differentials.</w:t>
      </w:r>
    </w:p>
    <w:p>
      <w:r>
        <w:rPr>
          <w:b w:val="0"/>
        </w:rPr>
        <w:t>Corrects in v19:  the [CONCLUSION] at par. 875, which stopped at "validly terminated" and omitted the award.</w:t>
      </w:r>
    </w:p>
    <w:p>
      <w:r>
        <w:rPr>
          <w:b w:val="0"/>
        </w:rPr>
      </w:r>
    </w:p>
    <w:p>
      <w:r>
        <w:rPr>
          <w:b/>
        </w:rPr>
        <w:t>13.  People v. Urquico, G.R. No. 238910, July 20, 2022 (First Division)</w:t>
      </w:r>
    </w:p>
    <w:p>
      <w:r>
        <w:rPr>
          <w:b w:val="0"/>
        </w:rPr>
        <w:t>Replaces paragraphs 422–424  ·  Part III — Illegal Recruitment</w:t>
      </w:r>
    </w:p>
    <w:p>
      <w:r>
        <w:rPr>
          <w:b w:val="0"/>
        </w:rPr>
        <w:t>Q:  Full caption: People of the Philippines v. Perlita Castro Urquico @ Fhey, Carlo Villavicencio, Jr. @ Boyet, and Elnora Mandelma @ Lathea Estefanos Stellios, accused; Elnora Mandelma, accused-appellant. May an accused be convicted of both illegal recruitment in large scale and estafa, and will the defence of alibi prosper against the complainants' testimonies?</w:t>
      </w:r>
    </w:p>
    <w:p>
      <w:r>
        <w:rPr>
          <w:b w:val="0"/>
        </w:rPr>
        <w:t>A:  Yes to the first and no to the second. Illegal recruitment in large scale under R.A. 8042 is malum prohibitum, while estafa under Art. 315(2)(a) of the Revised Penal Code is malum in se; conviction for both arising from the same transactions is therefore not barred. Alibi is inherently weak and cannot prevail over the positive and categorical testimonies of the complainants identifying the accused. The appeal was DISMISSED and the Court of Appeals decision AFFIRMED WITH MODIFICATION as to the indeterminate penalties imposed for each count of estafa.</w:t>
      </w:r>
    </w:p>
    <w:p>
      <w:pPr>
        <w:pStyle w:val="ListBullet"/>
      </w:pPr>
      <w:r>
        <w:rPr>
          <w:b w:val="0"/>
        </w:rPr>
        <w:t>The standard is positive and categorical testimony. "Dispositive" is a different word with a different meaning and should not appear in this rule.</w:t>
      </w:r>
    </w:p>
    <w:p>
      <w:pPr>
        <w:pStyle w:val="ListBullet"/>
      </w:pPr>
      <w:r>
        <w:rPr>
          <w:b w:val="0"/>
        </w:rPr>
        <w:t>The accused-appellant whose conviction was reviewed is Mandelma. Cite the case so that a reader can find her.</w:t>
      </w:r>
    </w:p>
    <w:p>
      <w:r>
        <w:rPr>
          <w:b w:val="0"/>
        </w:rPr>
        <w:t>Corrects in v19:  par. 424, which said alibi will not prevail over "dispositive and categorical testimonies," and the heading, which names only the first accused.</w:t>
      </w:r>
    </w:p>
    <w:p>
      <w:r>
        <w:rPr>
          <w:b w:val="0"/>
        </w:rPr>
      </w:r>
    </w:p>
    <w:p>
      <w:r>
        <w:rPr>
          <w:b/>
        </w:rPr>
        <w:t>14.  Santiago v. CF Sharp Crew Management, Inc., G.R. No. 162419, July 10, 2007 (Second Division)</w:t>
      </w:r>
    </w:p>
    <w:p>
      <w:r>
        <w:rPr>
          <w:b w:val="0"/>
        </w:rPr>
        <w:t>Replaces paragraph 497 and the material at paragraphs 499–509  ·  Part VI — Liability of Local Recruitment and Manning Agencies</w:t>
      </w:r>
    </w:p>
    <w:p>
      <w:r>
        <w:rPr>
          <w:b w:val="0"/>
        </w:rPr>
        <w:t>Q:  Santiago signed a POEA-approved employment contract but was prevented from leaving the port of Manila and was refused deployment without valid reason. The contract provided that the employer-employee relationship would commence only upon the seafarer's actual departure from the point of hire. Is he entitled to relief?</w:t>
      </w:r>
    </w:p>
    <w:p>
      <w:r>
        <w:rPr>
          <w:b w:val="0"/>
        </w:rPr>
        <w:t>A:  Yes. Perfection of the employment contract is distinct from the commencement of the employer-employee relationship. The contract was perfected on signing, and rights and obligations arose then, even though the relationship had not commenced for want of departure. Refusing to deploy him without a valid reason breached that perfected contract, and the claim, arising from the contract of an OFW, falls under the Labor Arbiter's jurisdiction under Sec. 10 of R.A. 8042. The petition was GRANTED IN PART, the Labor Arbiter's decision REINSTATED with modification, and CF Sharp ordered to pay "actual or compensatory damages in the amount of US$4,635.00 representing salary for nine (9) months as stated in the contract, and attorney's fees at the reasonable rate of 10% of the recoverable amount."</w:t>
      </w:r>
    </w:p>
    <w:p>
      <w:pPr>
        <w:pStyle w:val="ListBullet"/>
      </w:pPr>
      <w:r>
        <w:rPr>
          <w:b w:val="0"/>
        </w:rPr>
        <w:t>This case is not authority on transfer of accreditation. The requisites of transfer, the six-month rule, the four-year validity and the multiple-accreditation ceilings come from the POEA/DMW rules and should be cited to those rules.</w:t>
      </w:r>
    </w:p>
    <w:p>
      <w:pPr>
        <w:pStyle w:val="ListBullet"/>
      </w:pPr>
      <w:r>
        <w:rPr>
          <w:b w:val="0"/>
        </w:rPr>
        <w:t>For the continuing solidary liability of the former manning agency, cite Questcore, Inc. v. Bumanglag, G.R. No. 253020, December 7, 2022, which the reviewer already carries at par. 545 and which supplies a G.R. number.</w:t>
      </w:r>
    </w:p>
    <w:p>
      <w:r>
        <w:rPr>
          <w:b w:val="0"/>
        </w:rPr>
        <w:t>Corrects in v19:  the placement at pars. 497–509, where the accreditation rules sat under Santiago and its own holding appeared nowhere.</w:t>
      </w:r>
    </w:p>
    <w:p>
      <w:r>
        <w:rPr>
          <w:b w:val="0"/>
        </w:rPr>
      </w:r>
    </w:p>
    <w:p>
      <w:r>
        <w:rPr>
          <w:b/>
        </w:rPr>
        <w:t>15.  Century Properties, Inc. v. Babiano, G.R. No. 220978, July 5, 2016 (First Division)</w:t>
      </w:r>
    </w:p>
    <w:p>
      <w:r>
        <w:rPr>
          <w:b w:val="0"/>
        </w:rPr>
        <w:t>Replaces the orphaned citation at paragraph 3010  ·  Post-employment restrictions</w:t>
      </w:r>
    </w:p>
    <w:p>
      <w:r>
        <w:rPr>
          <w:b w:val="0"/>
        </w:rPr>
        <w:t>Q:  Babiano was hired by Century Properties as Director of Sales and later became Vice President for Sales. His contract carried a "Confidentiality of Documents and Non-Compete Clause" providing that his commissions would be forfeited if he joined a competitor. He resigned, joined a competitor, and sued for unpaid commissions. May the commissions be forfeited?</w:t>
      </w:r>
    </w:p>
    <w:p>
      <w:r>
        <w:rPr>
          <w:b w:val="0"/>
        </w:rPr>
        <w:t>A:  Yes as to Babiano. The clause is a valid stipulation and he breached it, so the petition was PARTLY GRANTED and "the commissions of respondent Edwin J. Babiano are deemed FORFEITED." The rest of the Court of Appeals decision, including the award of unpaid commissions to his co-respondent Concepcion, stands.</w:t>
      </w:r>
    </w:p>
    <w:p>
      <w:pPr>
        <w:pStyle w:val="ListBullet"/>
      </w:pPr>
      <w:r>
        <w:rPr>
          <w:b w:val="0"/>
        </w:rPr>
        <w:t>Distinguish Portillo v. Rudolf Lietz, Inc., G.R. No. 196539, October 10, 2012. There the employer sought to offset earned salary and commissions against its own claim for liquidated damages under a post-employment non-compete clause, and the Court held the two could not be offset: the damages claim is civil, arises after employment ends, and is not reasonably connected with the employer-employee relationship.</w:t>
      </w:r>
    </w:p>
    <w:p>
      <w:pPr>
        <w:pStyle w:val="ListBullet"/>
      </w:pPr>
      <w:r>
        <w:rPr>
          <w:b w:val="0"/>
        </w:rPr>
        <w:t>The two are not in conflict. Babiano is about contractual forfeiture of commissions under a valid clause. Portillo is about legal compensation under Art. 1279 and about which forum hears a post-employment civil claim. Placed next to each other without this distinction they read as one proposition, and it is the wrong one.</w:t>
      </w:r>
    </w:p>
    <w:p>
      <w:r>
        <w:rPr>
          <w:b w:val="0"/>
        </w:rPr>
        <w:t>Corrects in v19:  par. 3010, where the citation stood immediately above the Portillo digest with nothing attached to it.</w:t>
      </w:r>
    </w:p>
    <w:p>
      <w:r>
        <w:rPr>
          <w:b w:val="0"/>
        </w:rPr>
      </w:r>
    </w:p>
    <w:p>
      <w:r>
        <w:rPr>
          <w:b/>
        </w:rPr>
        <w:t>16.  BMG Records (Phils.), Inc. v. Aparecio, G.R. No. 153290, September 5, 2007 (First Division)</w:t>
      </w:r>
    </w:p>
    <w:p>
      <w:r>
        <w:rPr>
          <w:b w:val="0"/>
        </w:rPr>
        <w:t>Replaces paragraphs 3257–3261  ·  Resignation</w:t>
      </w:r>
    </w:p>
    <w:p>
      <w:r>
        <w:rPr>
          <w:b w:val="0"/>
        </w:rPr>
        <w:t>Q:  Who bears the burden of proving that a resignation was voluntary, and how did the burden operate in BMG Records?</w:t>
      </w:r>
    </w:p>
    <w:p>
      <w:r>
        <w:rPr>
          <w:b w:val="0"/>
        </w:rPr>
        <w:t>A:  Where the employer defends a case by asserting that the employee resigned, it bears the burden of proving that the resignation was voluntary. In BMG Records the employer discharged that burden. The Court found the resignations voluntary, holding that "what transpired here was caused by an employee's error of judgment and not by the employer's application of means vitiating the consent to resign," and that it would be unfair to attribute illegal dismissal to the employer and compel it to take back an employee who had unequivocally manifested her intent to sever her employment ties. The petition was GRANTED, the Court of Appeals reversed, and the Labor Arbiter's decision reinstated.</w:t>
      </w:r>
    </w:p>
    <w:p>
      <w:pPr>
        <w:pStyle w:val="ListBullet"/>
      </w:pPr>
      <w:r>
        <w:rPr>
          <w:b w:val="0"/>
        </w:rPr>
        <w:t>Use this case to show how the burden is discharged, not as an example of an employer failing to discharge it. A reader who takes it for the bare rule will be surprised by the result.</w:t>
      </w:r>
    </w:p>
    <w:p>
      <w:r>
        <w:rPr>
          <w:b w:val="0"/>
        </w:rPr>
        <w:t>Corrects in v19:  par. 3261, where the bare rule was stated under a case that resolved in the employer's favour.</w:t>
      </w:r>
    </w:p>
    <w:p>
      <w:r>
        <w:rPr>
          <w:b w:val="0"/>
        </w:rPr>
      </w:r>
    </w:p>
    <w:p>
      <w:r>
        <w:rPr>
          <w:b w:val="0"/>
        </w:rPr>
        <w:t>____________________________________________________________________________________________</w:t>
      </w:r>
    </w:p>
    <w:p>
      <w:r>
        <w:rPr>
          <w:b/>
        </w:rPr>
        <w:t>NOT CORRECTED HERE</w:t>
      </w:r>
    </w:p>
    <w:p>
      <w:r>
        <w:rPr>
          <w:b w:val="0"/>
        </w:rPr>
        <w:t>Three items from the audit are not digests and are not rewritten above:</w:t>
      </w:r>
    </w:p>
    <w:p>
      <w:pPr>
        <w:pStyle w:val="ListBullet"/>
      </w:pPr>
      <w:r>
        <w:rPr>
          <w:b w:val="0"/>
        </w:rPr>
        <w:t>The "(Same ruling: Tancinco v. GSIS)" parenthetical at par. 2590. Tancinco, G.R. No. 132916, was not opened, so whether it supports or contradicts the GSIS v. Court of Appeals digest is still unresolved. The digest itself is correct and needs no rewriting; only the parenthetical is in question.</w:t>
      </w:r>
    </w:p>
    <w:p>
      <w:pPr>
        <w:pStyle w:val="ListBullet"/>
      </w:pPr>
      <w:r>
        <w:rPr>
          <w:b w:val="0"/>
        </w:rPr>
        <w:t>The placement of the SME Bank, Inc. v. De Guzman citation at par. 1534. The doctrine it supports — the stock-sale and asset-sale distinction at pars. 1525–1533 — is correctly stated. The citation simply needs to sit with it, and to be repeated at Bar Question No. 5 (pars. 2643–2645), which currently gives no authority at all.</w:t>
      </w:r>
    </w:p>
    <w:p>
      <w:pPr>
        <w:pStyle w:val="ListBullet"/>
      </w:pPr>
      <w:r>
        <w:rPr>
          <w:b w:val="0"/>
        </w:rPr>
        <w:t>The incomplete citations under Priority D: the undated Guerrero cross-reference at par. 731, and the nine "Same ruling" strings resting on cases that carry no G.R. number anywhere in the reviewer. These are citation defects, not defective digests.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