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LABOR LAW REVIEW 1 — REVIEWER WITH CASE DIGESTS (v19)</w:t>
      </w:r>
    </w:p>
    <w:p>
      <w:r>
        <w:rPr>
          <w:b/>
        </w:rPr>
        <w:t>AUDIT OF THE NON-DIGEST MATERIAL — CORRECTIONS</w:t>
      </w:r>
    </w:p>
    <w:p>
      <w:r>
        <w:rPr>
          <w:b w:val="0"/>
        </w:rPr>
        <w:t>Doctrinal statements, element lists, statutory quotations and tables  ·  4 October 2026</w:t>
      </w:r>
    </w:p>
    <w:p>
      <w:r>
        <w:rPr>
          <w:b w:val="0"/>
        </w:rPr>
        <w:t>____________________________________________________________________________________________</w:t>
      </w:r>
    </w:p>
    <w:p>
      <w:r>
        <w:rPr>
          <w:b/>
        </w:rPr>
        <w:t>WHAT WAS SWEPT</w:t>
      </w:r>
    </w:p>
    <w:p>
      <w:r>
        <w:rPr>
          <w:b w:val="0"/>
        </w:rPr>
        <w:t>Everything in the reviewer that is not a case digest: 1,477 paragraphs, isolated by removing every digest block and every citation line. Within that body:</w:t>
      </w:r>
    </w:p>
    <w:p>
      <w:pPr>
        <w:pStyle w:val="ListBullet"/>
      </w:pPr>
      <w:r>
        <w:rPr>
          <w:b w:val="0"/>
        </w:rPr>
        <w:t>89 enumerated lists, 32 of them framed as elements, requisites, tests or kinds;</w:t>
      </w:r>
    </w:p>
    <w:p>
      <w:pPr>
        <w:pStyle w:val="ListBullet"/>
      </w:pPr>
      <w:r>
        <w:rPr>
          <w:b w:val="0"/>
        </w:rPr>
        <w:t>28 quoted statutory provisions;</w:t>
      </w:r>
    </w:p>
    <w:p>
      <w:pPr>
        <w:pStyle w:val="ListBullet"/>
      </w:pPr>
      <w:r>
        <w:rPr>
          <w:b w:val="0"/>
        </w:rPr>
        <w:t>27 general-rule / exception statements;</w:t>
      </w:r>
    </w:p>
    <w:p>
      <w:pPr>
        <w:pStyle w:val="ListBullet"/>
      </w:pPr>
      <w:r>
        <w:rPr>
          <w:b w:val="0"/>
        </w:rPr>
        <w:t>15 comparison tables;</w:t>
      </w:r>
    </w:p>
    <w:p>
      <w:pPr>
        <w:pStyle w:val="ListBullet"/>
      </w:pPr>
      <w:r>
        <w:rPr>
          <w:b w:val="0"/>
        </w:rPr>
        <w:t>the remainder being definitions, doctrinal propositions and syllabus outlines.</w:t>
      </w:r>
    </w:p>
    <w:p>
      <w:r>
        <w:rPr>
          <w:b w:val="0"/>
        </w:rPr>
        <w:t>The Labor Code (P.D. 442), R.A. 10151 and R.A. 8042 were opened and the quotations compared against them. Case-based propositions were checked against the decisions already retrieved for the digest audit. Seven defects were found. Everything else held.</w:t>
      </w:r>
    </w:p>
    <w:p>
      <w:r>
        <w:rPr>
          <w:b w:val="0"/>
        </w:rPr>
        <w:t>____________________________________________________________________________________________</w:t>
      </w:r>
    </w:p>
    <w:p>
      <w:r>
        <w:rPr>
          <w:b/>
        </w:rPr>
        <w:t>CORRECTIONS</w:t>
      </w:r>
    </w:p>
    <w:p>
      <w:r>
        <w:rPr>
          <w:b/>
        </w:rPr>
        <w:t>1.  The "two or more persons" rule in recruitment</w:t>
      </w:r>
    </w:p>
    <w:p>
      <w:r>
        <w:rPr>
          <w:b w:val="0"/>
        </w:rPr>
        <w:t>Paragraphs 14 and 26  ·  Part I — Recruitment and Placement</w:t>
      </w:r>
    </w:p>
    <w:p>
      <w:r>
        <w:rPr>
          <w:b w:val="0"/>
        </w:rPr>
        <w:t>As it stands:  "The controlling test is not the particular act performed but whether that act is coupled with a promise of employment to two or more persons" (par. 14), repeated at par. 26: "All of these acts must be in line with recruitment and placement, that is, they must be tied to the promise of employment to two or more persons."</w:t>
      </w:r>
    </w:p>
    <w:p>
      <w:r>
        <w:rPr>
          <w:b w:val="0"/>
        </w:rPr>
        <w:t>Why it is wrong:  People v. Panis, G.R. No. L-58674-77, July 11, 1986, holds the opposite: "The number of persons dealt with is not an essential ingredient of the act of recruitment and placement of workers. Any of the acts mentioned in the basic rule in Article 13(b) will constitute recruitment and placement even if only one prospective worker is involved." The proviso in Art. 13(b) — "any person or entity which, in any manner, offers or promises for a fee, employment to two or more persons shall be deemed engaged in recruitment and placement" — lays down a rule of evidence. The words "shall be deemed" create a presumption; they do not add an element. The reviewer's own par. 349 contradicts pars. 14 and 26: "Simple illegal recruitment: committed against one or two persons."</w:t>
      </w:r>
    </w:p>
    <w:p>
      <w:r>
        <w:rPr>
          <w:b w:val="0"/>
        </w:rPr>
        <w:t>Corrected statement:  Any of the acts enumerated in Art. 13(b) constitutes recruitment and placement, even as to a single worker. Where a fee is collected in consideration of a promise or offer of employment to two or more persons, the law creates a presumption that the person or entity is engaged in recruitment and placement; the number of persons is a rule of evidence, not an element.</w:t>
      </w:r>
    </w:p>
    <w:p>
      <w:pPr>
        <w:pStyle w:val="ListBullet"/>
      </w:pPr>
      <w:r>
        <w:rPr>
          <w:b w:val="0"/>
        </w:rPr>
        <w:t>This matters twice over on an exam: simple illegal recruitment may be committed against one victim, while large-scale illegal recruitment requires three or more (par. 358). Making "two or more" an element of the basic act collapses that structure.</w:t>
      </w:r>
    </w:p>
    <w:p>
      <w:pPr>
        <w:pStyle w:val="ListBullet"/>
      </w:pPr>
      <w:r>
        <w:rPr>
          <w:b w:val="0"/>
        </w:rPr>
        <w:t>The quotation of Art. 13(b) at par. 13 is accurate and needs no change. The defect is in the gloss.</w:t>
      </w:r>
    </w:p>
    <w:p>
      <w:r>
        <w:rPr>
          <w:b w:val="0"/>
        </w:rPr>
      </w:r>
    </w:p>
    <w:p>
      <w:r>
        <w:rPr>
          <w:b/>
        </w:rPr>
        <w:t>2.  Elements of casual employment</w:t>
      </w:r>
    </w:p>
    <w:p>
      <w:r>
        <w:rPr>
          <w:b w:val="0"/>
        </w:rPr>
        <w:t>Paragraph 917  ·  Part V — Casual Employees</w:t>
      </w:r>
    </w:p>
    <w:p>
      <w:r>
        <w:rPr>
          <w:b w:val="0"/>
        </w:rPr>
        <w:t>As it stands:  Three elements are given: the work is not usually necessary or desirable; it is not project or seasonal; and "it is incidental, sporadic or brief."</w:t>
      </w:r>
    </w:p>
    <w:p>
      <w:r>
        <w:rPr>
          <w:b w:val="0"/>
        </w:rPr>
        <w:t>Why it is wrong:  Art. 295, second paragraph defines casual employment residually and says nothing about duration: "An employment shall be deemed to be casual if it is not covered by the preceding paragraph: Provided, That any employee who has rendered at least one year of service, whether such service is continuous or broken, shall be considered a regular employee with respect to the activity in which he is employed and his employment shall continue while such activity exists." The third element is not in the statute, and "brief" contradicts the very next paragraph of the reviewer (par. 921, the one-year rule) and the UST digest immediately below it, where the workers were casual yet were engaged from 1990 to 1999.</w:t>
      </w:r>
    </w:p>
    <w:p>
      <w:r>
        <w:rPr>
          <w:b w:val="0"/>
        </w:rPr>
        <w:t>Corrected statement:  An employment is casual if it is not covered by the first paragraph of Art. 295 — that is, the work is not usually necessary or desirable in the usual business or trade of the employer, and the engagement is neither project nor seasonal. Duration is not an element. A casual employee who renders at least one year of service, continuous or broken, becomes regular with respect to that activity.</w:t>
      </w:r>
    </w:p>
    <w:p>
      <w:pPr>
        <w:pStyle w:val="ListBullet"/>
      </w:pPr>
      <w:r>
        <w:rPr>
          <w:b w:val="0"/>
        </w:rPr>
        <w:t>Keep the residual character of the definition visible: casual is what is left over after regular, project and seasonal are excluded.</w:t>
      </w:r>
    </w:p>
    <w:p>
      <w:r>
        <w:rPr>
          <w:b w:val="0"/>
        </w:rPr>
      </w:r>
    </w:p>
    <w:p>
      <w:r>
        <w:rPr>
          <w:b/>
        </w:rPr>
        <w:t>3.  Definition of a night worker</w:t>
      </w:r>
    </w:p>
    <w:p>
      <w:r>
        <w:rPr>
          <w:b w:val="0"/>
        </w:rPr>
        <w:t>Paragraph 1358  ·  Night Workers, Arts. 154-161</w:t>
      </w:r>
    </w:p>
    <w:p>
      <w:r>
        <w:rPr>
          <w:b w:val="0"/>
        </w:rPr>
        <w:t>As it stands:  "Night worker (R.A. 10151; Arts. 154 to 161): any employed person whose work covers at least seven consecutive hours between 10:00 p.m. and 6:00 a.m. (the night work period)."</w:t>
      </w:r>
    </w:p>
    <w:p>
      <w:r>
        <w:rPr>
          <w:b w:val="0"/>
        </w:rPr>
        <w:t>Why it is wrong:  Two provisions are run together. R.A. 10151 inserted Art. 154, which fixes the night period as "a period of not less than seven (7) consecutive hours, including the interval from midnight to five o'clock in the morning, to be determined by the Secretary of Labor and Employment" — not 10 p.m. to 6 a.m. That window belongs to Art. 86, on night shift differential, which the reviewer states correctly at par. 1360. Art. 154 also defines the worker differently: "'Night worker' means any employed person whose work requires performance of a substantial number of hours of night work which exceeds a specified limit" fixed by the Secretary. The reviewer's sentence uses the seven-hour period to define the worker, when it defines the chapter's coverage.</w:t>
      </w:r>
    </w:p>
    <w:p>
      <w:r>
        <w:rPr>
          <w:b w:val="0"/>
        </w:rPr>
        <w:t>Corrected statement:  The night work period under Art. 154 is a period of not less than seven consecutive hours that includes the interval from midnight to five o'clock in the morning. A night worker is one whose work requires a substantial number of hours of night work exceeding the limit fixed by the Secretary of Labor. Distinguish this from the night shift differential under Art. 86, which is payable for each hour worked between ten o'clock in the evening and six o'clock in the morning.</w:t>
      </w:r>
    </w:p>
    <w:p>
      <w:pPr>
        <w:pStyle w:val="ListBullet"/>
      </w:pPr>
      <w:r>
        <w:rPr>
          <w:b w:val="0"/>
        </w:rPr>
        <w:t>The two windows do different work. A worker on 10 p.m. to 5 a.m. falls in the Art. 154 chapter; a worker on 6 p.m. to 1 a.m. draws night shift differential for three hours without necessarily being a night worker.</w:t>
      </w:r>
    </w:p>
    <w:p>
      <w:pPr>
        <w:pStyle w:val="ListBullet"/>
      </w:pPr>
      <w:r>
        <w:rPr>
          <w:b w:val="0"/>
        </w:rPr>
        <w:t>Coverage at par. 1359 and the women-night-worker rule at par. 1363 are correct.</w:t>
      </w:r>
    </w:p>
    <w:p>
      <w:r>
        <w:rPr>
          <w:b w:val="0"/>
        </w:rPr>
      </w:r>
    </w:p>
    <w:p>
      <w:r>
        <w:rPr>
          <w:b/>
        </w:rPr>
        <w:t>4.  Requisites for a benefit to ripen into company practice</w:t>
      </w:r>
    </w:p>
    <w:p>
      <w:r>
        <w:rPr>
          <w:b w:val="0"/>
        </w:rPr>
        <w:t>Paragraphs 2312-2316  ·  Non-Diminution of Benefits, Art. 100</w:t>
      </w:r>
    </w:p>
    <w:p>
      <w:r>
        <w:rPr>
          <w:b w:val="0"/>
        </w:rPr>
        <w:t>As it stands:  The first requisite reads: "It is founded on a company policy, practice or CBA."</w:t>
      </w:r>
    </w:p>
    <w:p>
      <w:r>
        <w:rPr>
          <w:b w:val="0"/>
        </w:rPr>
        <w:t>Why it is wrong:  Home Credit Mutual Building and Loan Association v. Prudente, G.R. No. 200010, August 27, 2020, puts it the other way: the rule protects "benefits which were voluntarily given by the employer, and which have ripened into company practice"; and "It requires an indubitable showing that the employer agreed to continue giving the benefit knowing fully well that the employee is not covered by any provision of law or agreement for its payment." A benefit paid under a CBA is demandable as a contract; it does not need to, and does not, ripen into a practice. The decision adds a requisite the list omits: "The burden to establish that the benefit has ripened into a company practice rests with the employee." The reviewer states the rule correctly in its own digest of the same case at par. 2060 — "not by reason of a legal or contractual obligation or a condition" — so the document contradicts itself.</w:t>
      </w:r>
    </w:p>
    <w:p>
      <w:r>
        <w:rPr>
          <w:b w:val="0"/>
        </w:rPr>
        <w:t>Corrected statement:  For a benefit to ripen into a company practice that cannot be unilaterally withdrawn: (1) it was given voluntarily, and not by reason of a legal or contractual obligation; (2) it was given consistently and deliberately over a long period, no fixed period being prescribed; (3) it was not given by reason of an error in the construction or application of a doubtful or difficult question of law; and (4) it was not dependent on a condition or contingency. The burden of proving all of this rests on the employee.</w:t>
      </w:r>
    </w:p>
    <w:p>
      <w:pPr>
        <w:pStyle w:val="ListBullet"/>
      </w:pPr>
      <w:r>
        <w:rPr>
          <w:b w:val="0"/>
        </w:rPr>
        <w:t>Central Azucarera de Tarlac (par. 2319) is the illustration of requisite 3: the error defence failed because the employer knowingly continued the more generous computation.</w:t>
      </w:r>
    </w:p>
    <w:p>
      <w:r>
        <w:rPr>
          <w:b w:val="0"/>
        </w:rPr>
      </w:r>
    </w:p>
    <w:p>
      <w:r>
        <w:rPr>
          <w:b/>
        </w:rPr>
        <w:t>5.  Requisites of a valid bona fide occupational qualification</w:t>
      </w:r>
    </w:p>
    <w:p>
      <w:r>
        <w:rPr>
          <w:b w:val="0"/>
        </w:rPr>
        <w:t>Paragraphs 3090-3092  ·  Management Prerogative</w:t>
      </w:r>
    </w:p>
    <w:p>
      <w:r>
        <w:rPr>
          <w:b w:val="0"/>
        </w:rPr>
        <w:t>As it stands:  The second requisite reads: "There is a factual basis for believing that employees who meet the qualification would not be able to perform their work well."</w:t>
      </w:r>
    </w:p>
    <w:p>
      <w:r>
        <w:rPr>
          <w:b w:val="0"/>
        </w:rPr>
        <w:t>Why it is wrong:  The quantifier is missing. Yrasuegui v. Philippine Airlines, G.R. No. 168081, October 17, 2008, quoting Star Paper Corporation v. Simbol, requires "factual basis for believing that all or substantially all persons meeting the qualification would be unable to properly perform the duties of the job." Without "all or substantially all," the test is satisfied by evidence about some employees, which is far short of what the law requires of an employer seeking to justify a discriminatory qualification.</w:t>
      </w:r>
    </w:p>
    <w:p>
      <w:r>
        <w:rPr>
          <w:b w:val="0"/>
        </w:rPr>
        <w:t>Corrected statement:  A bona fide occupational qualification is valid where (1) the employment qualification is reasonably related to the essential operation of the job involved; and (2) there is a factual basis for believing that all or substantially all persons meeting the qualification would be unable to properly perform the duties of the job.</w:t>
      </w:r>
    </w:p>
    <w:p>
      <w:pPr>
        <w:pStyle w:val="ListBullet"/>
      </w:pPr>
      <w:r>
        <w:rPr>
          <w:b w:val="0"/>
        </w:rPr>
        <w:t>Par. 3093 should not stop at the BFOQ holding. Yrasuegui was still awarded separation pay as an act of social justice, the Court saying: "We uphold the legality of dismissal. Separation pay, however, should be awarded in favor of the employee as an act of social justice or based on equity. This is so because his dismissal is not for serious misconduct." An answer that stops at "valid BFOQ" gets the relief wrong.</w:t>
      </w:r>
    </w:p>
    <w:p>
      <w:r>
        <w:rPr>
          <w:b w:val="0"/>
        </w:rPr>
      </w:r>
    </w:p>
    <w:p>
      <w:r>
        <w:rPr>
          <w:b/>
        </w:rPr>
        <w:t>6.  Requisites of a valid post-employment prohibition</w:t>
      </w:r>
    </w:p>
    <w:p>
      <w:r>
        <w:rPr>
          <w:b w:val="0"/>
        </w:rPr>
        <w:t>Paragraphs 3096-3099, against paragraph 2671  ·  Management Prerogative</w:t>
      </w:r>
    </w:p>
    <w:p>
      <w:r>
        <w:rPr>
          <w:b w:val="0"/>
        </w:rPr>
        <w:t>As it stands:  Three requisites are given: the clause is part of the employment contract and protects a legitimate business interest; it does not create an undue burden on the employee; and it is not injurious to public welfare.</w:t>
      </w:r>
    </w:p>
    <w:p>
      <w:r>
        <w:rPr>
          <w:b w:val="0"/>
        </w:rPr>
        <w:t>Why it is wrong:  The requirement that decides these cases is absent: the restraint must be reasonable as to time, trade and place. The reviewer states it correctly in its own Bar answer at par. 2671 — "A non-compete clause is valid only if it is reasonable as to time, trade, and place" — and that is the ground on which the answer there strikes down a perpetual, worldwide clause. As written, pars. 3096-3099 would validate the very clause par. 2671 invalidates.</w:t>
      </w:r>
    </w:p>
    <w:p>
      <w:r>
        <w:rPr>
          <w:b w:val="0"/>
        </w:rPr>
        <w:t>Corrected statement:  A post-employment non-involvement clause is a restraint of trade but is valid where (1) it is part of the employment contract and protects a legitimate business interest of the employer; (2) it is reasonable as to time, trade and place; (3) it does not impose an undue burden on the employee, leaving him able to earn a living; and (4) it is not injurious to public welfare.</w:t>
      </w:r>
    </w:p>
    <w:p>
      <w:pPr>
        <w:pStyle w:val="ListBullet"/>
      </w:pPr>
      <w:r>
        <w:rPr>
          <w:b w:val="0"/>
        </w:rPr>
        <w:t>Tiu v. Platinum Plans Philippines, Inc., G.R. No. 163512, February 28, 2007, upheld a two-year non-involvement clause on exactly this reasoning; the petition there was denied.</w:t>
      </w:r>
    </w:p>
    <w:p>
      <w:r>
        <w:rPr>
          <w:b w:val="0"/>
        </w:rPr>
      </w:r>
    </w:p>
    <w:p>
      <w:r>
        <w:rPr>
          <w:b/>
        </w:rPr>
        <w:t>7.  Two further case references with no G.R. number</w:t>
      </w:r>
    </w:p>
    <w:p>
      <w:r>
        <w:rPr>
          <w:b w:val="0"/>
        </w:rPr>
        <w:t>Paragraphs 794 and 796  ·  Construction of Labor Laws</w:t>
      </w:r>
    </w:p>
    <w:p>
      <w:r>
        <w:rPr>
          <w:b w:val="0"/>
        </w:rPr>
        <w:t>As it stands:  The equipoise rule is supported by "(Wahing case)" at par. 794 and "(Cobilla, et al. v. HSY Marketing Ltd.)" at par. 796. Neither carries a G.R. number or a date anywhere in the reviewer.</w:t>
      </w:r>
    </w:p>
    <w:p>
      <w:r>
        <w:rPr>
          <w:b w:val="0"/>
        </w:rPr>
        <w:t>Why it is wrong:  Neither can be looked up or verified as it stands. A sweep of every "X v. Y" in the document found these two to be the only such references outside the list already carried at Priority D5 of the earlier revision.</w:t>
      </w:r>
    </w:p>
    <w:p>
      <w:r>
        <w:rPr>
          <w:b w:val="0"/>
        </w:rPr>
        <w:t>Corrected statement:  Supply the G.R. numbers and dates, or drop the parentheticals and rest the equipoise rule on an authority the reader can find.</w:t>
      </w:r>
    </w:p>
    <w:p>
      <w:pPr>
        <w:pStyle w:val="ListBullet"/>
      </w:pPr>
      <w:r>
        <w:rPr>
          <w:b w:val="0"/>
        </w:rPr>
        <w:t>These are additions to D5, not duplicates of it.</w:t>
      </w:r>
    </w:p>
    <w:p>
      <w:r>
        <w:rPr>
          <w:b w:val="0"/>
        </w:rPr>
      </w:r>
    </w:p>
    <w:p>
      <w:r>
        <w:rPr>
          <w:b w:val="0"/>
        </w:rPr>
        <w:t>____________________________________________________________________________________________</w:t>
      </w:r>
    </w:p>
    <w:p>
      <w:r>
        <w:rPr>
          <w:b/>
        </w:rPr>
        <w:t>TWO SMALLER POINTS</w:t>
      </w:r>
    </w:p>
    <w:p>
      <w:pPr>
        <w:pStyle w:val="ListBullet"/>
      </w:pPr>
      <w:r>
        <w:rPr>
          <w:b w:val="0"/>
        </w:rPr>
        <w:t>Paragraph 447 — "The corporate officers or board are liable as long as the contract of employment runs" restates Sec. 10 of R.A. 8042 without the qualification the reviewer itself supplies twenty paragraphs later, at pars. 465-466: under Sto. Tomas v. Salac the liability of officers is not automatic, and requires a finding that they were remiss in directing the affairs of the agency. Add the cross-reference or the sentence reads as strict liability.</w:t>
      </w:r>
    </w:p>
    <w:p>
      <w:pPr>
        <w:pStyle w:val="ListBullet"/>
      </w:pPr>
      <w:r>
        <w:rPr>
          <w:b w:val="0"/>
        </w:rPr>
        <w:t>Paragraph 1345 — Art. 136 (formerly Art. 138) requires effective control or supervision "for a substantial period of time as determined by the Secretary of Labor and Employment." The reviewer fixes this at "more than six months." That figure is not in the Code; confirm the issuance it comes from, or state it as the Code does.</w:t>
      </w:r>
    </w:p>
    <w:p>
      <w:pPr>
        <w:pStyle w:val="ListBullet"/>
      </w:pPr>
      <w:r>
        <w:rPr>
          <w:b w:val="0"/>
        </w:rPr>
        <w:t>Tables 6 and 9 are duplicates of each other — both are headed "Basis | Stock Sale | Asset Sale." One can be deleted.</w:t>
      </w:r>
    </w:p>
    <w:p>
      <w:r>
        <w:rPr>
          <w:b w:val="0"/>
        </w:rPr>
        <w:t>____________________________________________________________________________________________</w:t>
      </w:r>
    </w:p>
    <w:p>
      <w:r>
        <w:rPr>
          <w:b/>
        </w:rPr>
        <w:t>WHAT CHECKED OUT</w:t>
      </w:r>
    </w:p>
    <w:p>
      <w:r>
        <w:rPr>
          <w:b w:val="0"/>
        </w:rPr>
        <w:t>The following were compared against the primary sources and match:</w:t>
      </w:r>
    </w:p>
    <w:p>
      <w:pPr>
        <w:pStyle w:val="ListBullet"/>
      </w:pPr>
      <w:r>
        <w:rPr>
          <w:b w:val="0"/>
        </w:rPr>
        <w:t>All 28 quoted statutory provisions. Every Labor Code quotation is verbatim, including Art. 13(b), Art. 34 (all eleven prohibited practices), Art. 85, Art. 86, Art. 97(f), Art. 100, Art. 101, Art. 106, Art. 124, Art. 126 and Art. 295.</w:t>
      </w:r>
    </w:p>
    <w:p>
      <w:pPr>
        <w:pStyle w:val="ListBullet"/>
      </w:pPr>
      <w:r>
        <w:rPr>
          <w:b w:val="0"/>
        </w:rPr>
        <w:t>Every renumbering claim: 296 from 281, 295 from 280, 298 from 283, 302 from 287, 179 from 173, 229 from 223, 275 from 262, and 133-134-136 from 135-136-138. Arts. 6, 82, 97, 100, 101, 106, 124 and 126 are unchanged, as stated.</w:t>
      </w:r>
    </w:p>
    <w:p>
      <w:pPr>
        <w:pStyle w:val="ListBullet"/>
      </w:pPr>
      <w:r>
        <w:rPr>
          <w:b w:val="0"/>
        </w:rPr>
        <w:t>The element and requisite lists on project employment (834), the Sec. 6(m) illegal recruitment elements (333), failure to reimburse (457), apprenticeship (1138) and the apprentice's qualifications (1131, including the note that R.A. 9231 displaced the Code's age of 14), learnership (1160, 1165), sexual harassment (1256), wage (2171), wage distortion (2203), compensable injury (2482) and the grounds for non-compensability (2487), the valid transfer (3102), the quota and time-and-motion study (3148), and the penalty-proportionality factors (3223).</w:t>
      </w:r>
    </w:p>
    <w:p>
      <w:pPr>
        <w:pStyle w:val="ListBullet"/>
      </w:pPr>
      <w:r>
        <w:rPr>
          <w:b w:val="0"/>
        </w:rPr>
        <w:t>The five statutory leaves — maternity under R.A. 11210 including the 105/30/15/60-day structure, the contribution and notice requisites and the penalty; paternity under R.A. 8187 including its three requisites and penalty; solo parent; VAWC; and the special leave for women under Sec. 18 of R.A. 9710 with its three requisites.</w:t>
      </w:r>
    </w:p>
    <w:p>
      <w:pPr>
        <w:pStyle w:val="ListBullet"/>
      </w:pPr>
      <w:r>
        <w:rPr>
          <w:b w:val="0"/>
        </w:rPr>
        <w:t>Hours of work and premium pay throughout: Art. 82's exclusions, Art. 83, the compressed workweek requisites, Art. 84 and the compensable/non-compensable lists, Art. 87's rates, Art. 88, Art. 89, Art. 91, Art. 93's 130 and 150 per cent premiums, Art. 94's 200 and 260 per cent, Art. 95, and the thirteenth-month rules.</w:t>
      </w:r>
    </w:p>
    <w:p>
      <w:pPr>
        <w:pStyle w:val="ListBullet"/>
      </w:pPr>
      <w:r>
        <w:rPr>
          <w:b w:val="0"/>
        </w:rPr>
        <w:t>R.A. 8188's penalties and the rule that a person convicted is not entitled to probation; Art. 128 and Art. 129 including the five-thousand-peso ceiling and the five-day appeal; Art. 110; and the SSS, GSIS and portability provisions, including the unemployment benefit's 36-contribution requirement.</w:t>
      </w:r>
    </w:p>
    <w:p>
      <w:r>
        <w:rPr>
          <w:b w:val="0"/>
        </w:rPr>
        <w:t>Material resting on department orders and administrative issuances — D.O. 216-20 and 217-20, the DMW rules, R.A. 12021's implementing provisions, the capitalisation and fee figures, and the NWPC time-and-motion guidelines — was read for internal consistency but could not be checked against the issuances themselves, which are not on the sources reachable from here. Nothing in it looked wrong; none of it is confirmed.</w:t>
      </w:r>
    </w:p>
    <w:p>
      <w:r>
        <w:rPr>
          <w:b w:val="0"/>
        </w:rPr>
        <w:t>____________________________________________________________________________________________</w:t>
      </w:r>
    </w:p>
    <w:p>
      <w:r>
        <w:rPr>
          <w:b w:val="0"/>
        </w:rPr>
        <w:t>End — 7 corrections, 3 smaller points, in 1,477 paragraphs of non-digest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