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LABOR LAW REVIEW 1 — REVIEWER WITH CASE DIGESTS (v19)</w:t>
      </w:r>
    </w:p>
    <w:p>
      <w:r>
        <w:rPr>
          <w:b/>
        </w:rPr>
        <w:t>AUDIT OF CASE DIGESTS: DOUBTFUL ENTRIES FLAGGED FOR MANUAL CORRECTION</w:t>
      </w:r>
    </w:p>
    <w:p>
      <w:r>
        <w:rPr>
          <w:b w:val="0"/>
        </w:rPr>
        <w:t>Revision 5 — the previously unverified entries, read against the decisions  ·  4 October 2026  ·  Source: Labor_Law_Review_1_Reviewer_with_Case_Digests_v19.docx</w:t>
      </w:r>
    </w:p>
    <w:p>
      <w:r>
        <w:rPr>
          <w:b w:val="0"/>
        </w:rPr>
        <w:t>____________________________________________________________________________________________</w:t>
      </w:r>
    </w:p>
    <w:p>
      <w:r>
        <w:rPr>
          <w:b/>
        </w:rPr>
        <w:t>WHAT CHANGED IN THIS REVISION</w:t>
      </w:r>
    </w:p>
    <w:p>
      <w:r>
        <w:rPr>
          <w:b w:val="0"/>
        </w:rPr>
        <w:t>Revision 4 analysed the 135 entries that Revision 3 had left unverified, but could not open a single decision: the network policy refused lawphil, the Supreme Court E-Library and every other full-text host. Its findings were graded accordingly, and 118 entries were left expressly uncleared.</w:t>
      </w:r>
    </w:p>
    <w:p>
      <w:r>
        <w:rPr>
          <w:b w:val="0"/>
        </w:rPr>
        <w:t>That restriction has lifted for lawphil.net. The full texts of 131 of the 135 were retrieved and each digest was read against the decision — the dispositive portion first, then the passages the digest relies on. This revision reports what that produced. It supersedes Revision 4 on every point where the two differ.</w:t>
      </w:r>
    </w:p>
    <w:p>
      <w:r>
        <w:rPr>
          <w:b w:val="0"/>
        </w:rPr>
        <w:t>Three of Revision 4's findings did not survive contact with the texts and are withdrawn below. Two more were wrong in their reasoning though right that something was amiss, and are restated. Six defects that Revision 4 could not see at all were found. The net is a larger and firmer set of findings, and a much smaller unverified remainder.</w:t>
      </w:r>
    </w:p>
    <w:p>
      <w:r>
        <w:rPr>
          <w:b w:val="0"/>
        </w:rPr>
        <w:t>Scope is unchanged from Revision 4: the 63 entries Revision 3 opened are not re-analysed, and the 24 bare citations and 1 duplicate remain excluded. The numbering continues: A6 follows A5, B4 follows B3, C2 follows C1, D6 follows D5.</w:t>
      </w:r>
    </w:p>
    <w:p>
      <w:r>
        <w:rPr>
          <w:b w:val="0"/>
        </w:rPr>
        <w:t>____________________________________________________________________________________________</w:t>
      </w:r>
    </w:p>
    <w:p>
      <w:r>
        <w:rPr>
          <w:b/>
        </w:rPr>
        <w:t>SUMMARY OF FINDINGS</w:t>
      </w:r>
    </w:p>
    <w:p>
      <w:r>
        <w:rPr>
          <w:b w:val="0"/>
        </w:rPr>
        <w:t>As in the earlier revisions, this report identifies the defect and where it sits. It does not supply the corrected digest. Every finding below was established by reading the decision itself.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Nature of defect</w:t>
            </w:r>
          </w:p>
        </w:tc>
        <w:tc>
          <w:tcPr>
            <w:tcW w:type="dxa" w:w="2880"/>
          </w:tcPr>
          <w:p>
            <w:r>
              <w:rPr>
                <w:b/>
              </w:rPr>
              <w:t>Entries</w:t>
            </w:r>
          </w:p>
        </w:tc>
      </w:tr>
      <w:tr>
        <w:tc>
          <w:tcPr>
            <w:tcW w:type="dxa" w:w="2880"/>
          </w:tcPr>
          <w:p>
            <w:r>
              <w:t>A</w:t>
            </w:r>
          </w:p>
        </w:tc>
        <w:tc>
          <w:tcPr>
            <w:tcW w:type="dxa" w:w="2880"/>
          </w:tcPr>
          <w:p>
            <w:r>
              <w:t>Confirmed error — the stated holding, application or supporting authority contradicts the decision</w:t>
            </w:r>
          </w:p>
        </w:tc>
        <w:tc>
          <w:tcPr>
            <w:tcW w:type="dxa" w:w="2880"/>
          </w:tcPr>
          <w:p>
            <w:r>
              <w:t>7  (A6–A12)</w:t>
            </w:r>
          </w:p>
        </w:tc>
      </w:tr>
      <w:tr>
        <w:tc>
          <w:tcPr>
            <w:tcW w:type="dxa" w:w="2880"/>
          </w:tcPr>
          <w:p>
            <w:r>
              <w:t>B</w:t>
            </w:r>
          </w:p>
        </w:tc>
        <w:tc>
          <w:tcPr>
            <w:tcW w:type="dxa" w:w="2880"/>
          </w:tcPr>
          <w:p>
            <w:r>
              <w:t>Doubtful — the disposition or the relief is materially incomplete</w:t>
            </w:r>
          </w:p>
        </w:tc>
        <w:tc>
          <w:tcPr>
            <w:tcW w:type="dxa" w:w="2880"/>
          </w:tcPr>
          <w:p>
            <w:r>
              <w:t>6  (B4, B6, B10–B13)</w:t>
            </w:r>
          </w:p>
        </w:tc>
      </w:tr>
      <w:tr>
        <w:tc>
          <w:tcPr>
            <w:tcW w:type="dxa" w:w="2880"/>
          </w:tcPr>
          <w:p>
            <w:r>
              <w:t>C</w:t>
            </w:r>
          </w:p>
        </w:tc>
        <w:tc>
          <w:tcPr>
            <w:tcW w:type="dxa" w:w="2880"/>
          </w:tcPr>
          <w:p>
            <w:r>
              <w:t>Attribution unclear — a proposition stated under a case that does not supply it, or an authority left standing alone</w:t>
            </w:r>
          </w:p>
        </w:tc>
        <w:tc>
          <w:tcPr>
            <w:tcW w:type="dxa" w:w="2880"/>
          </w:tcPr>
          <w:p>
            <w:r>
              <w:t>4  (C2, C4–C6)</w:t>
            </w:r>
          </w:p>
        </w:tc>
      </w:tr>
      <w:tr>
        <w:tc>
          <w:tcPr>
            <w:tcW w:type="dxa" w:w="2880"/>
          </w:tcPr>
          <w:p>
            <w:r>
              <w:t>D</w:t>
            </w:r>
          </w:p>
        </w:tc>
        <w:tc>
          <w:tcPr>
            <w:tcW w:type="dxa" w:w="2880"/>
          </w:tcPr>
          <w:p>
            <w:r>
              <w:t>Citation incomplete — cannot be looked up as it stands</w:t>
            </w:r>
          </w:p>
        </w:tc>
        <w:tc>
          <w:tcPr>
            <w:tcW w:type="dxa" w:w="2880"/>
          </w:tcPr>
          <w:p>
            <w:r>
              <w:t>2  (D6–D7)</w:t>
            </w:r>
          </w:p>
        </w:tc>
      </w:tr>
      <w:tr>
        <w:tc>
          <w:tcPr>
            <w:tcW w:type="dxa" w:w="2880"/>
          </w:tcPr>
          <w:p>
            <w:r>
              <w:t>—</w:t>
            </w:r>
          </w:p>
        </w:tc>
        <w:tc>
          <w:tcPr>
            <w:tcW w:type="dxa" w:w="2880"/>
          </w:tcPr>
          <w:p>
            <w:r>
              <w:t>Withdrawn: Revision 4 findings the full texts did not bear out</w:t>
            </w:r>
          </w:p>
        </w:tc>
        <w:tc>
          <w:tcPr>
            <w:tcW w:type="dxa" w:w="2880"/>
          </w:tcPr>
          <w:p>
            <w:r>
              <w:t>3  (B5, B7 in part, B9)</w:t>
            </w:r>
          </w:p>
        </w:tc>
      </w:tr>
    </w:tbl>
    <w:p>
      <w:r>
        <w:rPr>
          <w:b w:val="0"/>
        </w:rPr>
      </w:r>
    </w:p>
    <w:p>
      <w:r>
        <w:rPr>
          <w:b w:val="0"/>
        </w:rPr>
        <w:t>Coverage: 131 of the 135 entries were read against the full text. The remaining 4 are named at the end — three of them were already confirmed in Revision 4 from the Supreme Court's own reporting, so only one entry in the whole set now rests on nothing better than a textbook reading.</w:t>
      </w:r>
    </w:p>
    <w:p>
      <w:r>
        <w:rPr>
          <w:b w:val="0"/>
        </w:rPr>
        <w:t>____________________________________________________________________________________________</w:t>
      </w:r>
    </w:p>
    <w:p>
      <w:r>
        <w:rPr>
          <w:b/>
        </w:rPr>
        <w:t>PRIORITY A — CONFIRMED ERRORS</w:t>
      </w:r>
    </w:p>
    <w:p>
      <w:r>
        <w:rPr>
          <w:b w:val="0"/>
        </w:rPr>
        <w:t>Continuing A1–A5. In each, the citation is correct and the substance is not.</w:t>
      </w:r>
    </w:p>
    <w:p>
      <w:r>
        <w:rPr>
          <w:b/>
        </w:rPr>
        <w:t>A6.  Bernardo v. NLRC, G.R. No. 122917, July 12, 1999</w:t>
      </w:r>
    </w:p>
    <w:p>
      <w:r>
        <w:rPr>
          <w:b w:val="0"/>
        </w:rPr>
        <w:t>Location: paragraphs 1191–1200  ·  Section: Part V — Handicapped Workers</w:t>
      </w:r>
    </w:p>
    <w:p>
      <w:pPr>
        <w:pStyle w:val="ListBullet"/>
      </w:pPr>
      <w:r>
        <w:rPr>
          <w:b w:val="0"/>
        </w:rPr>
        <w:t>The digest answers "Yes, the deaf-mute sorters are regular employees" and concludes that "they are regular employees entitled to security of tenure." The Court split the complainants. Its words: "With the exception of sixteen of them, petitioners performed these tasks for more than six months. Thus, the following twenty-seven petitioners should be deemed regular employees." The fallo then names those 27 and orders back wages and separation pay to them alone. Sixteen of the 43 got nothing.</w:t>
      </w:r>
    </w:p>
    <w:p>
      <w:pPr>
        <w:pStyle w:val="ListBullet"/>
      </w:pPr>
      <w:r>
        <w:rPr>
          <w:b w:val="0"/>
        </w:rPr>
        <w:t>The operative fact is the renewal of the six-month contract beyond six months — not the handicap, and not that money-sorting is necessary to a bank. As written the digest teaches the wrong rule, and an examinee who reproduces it will answer a split-holding problem with a blanket one.</w:t>
      </w:r>
    </w:p>
    <w:p>
      <w:pPr>
        <w:pStyle w:val="ListBullet"/>
      </w:pPr>
      <w:r>
        <w:rPr>
          <w:b w:val="0"/>
        </w:rPr>
        <w:t>The [LEGAL BASIS] cites Art. 295 and Sec. 5 of R.A. 7277 but omits the six-month rule the split turns on, so it cannot generate the Court's own distinction.</w:t>
      </w:r>
    </w:p>
    <w:p>
      <w:pPr>
        <w:pStyle w:val="ListBullet"/>
      </w:pPr>
      <w:r>
        <w:rPr>
          <w:b w:val="0"/>
        </w:rPr>
        <w:t>Same defect as A2 (Alaska Milk): one answer standing in for a divided holding. The ISSUE needs re-framing so that the six-month threshold is the question.</w:t>
      </w:r>
    </w:p>
    <w:p>
      <w:r>
        <w:rPr>
          <w:b w:val="0"/>
        </w:rPr>
        <w:t>Which elements are defective: RULING/ANSWER, [APPLICATION] and [CONCLUSION]; the ISSUE needs re-framing. The Facts paragraph is accurate.</w:t>
      </w:r>
    </w:p>
    <w:p>
      <w:r>
        <w:rPr>
          <w:b w:val="0"/>
        </w:rPr>
        <w:t>Verified at: lawphil.net/judjuris/juri1999/jul1999/gr_122917_1999.html</w:t>
      </w:r>
    </w:p>
    <w:p>
      <w:r>
        <w:rPr>
          <w:b/>
        </w:rPr>
        <w:t>A7.  Buenaflor v. Stolt-Nielsen Philippines, G.R. No. 221664, June 27, 2022</w:t>
      </w:r>
    </w:p>
    <w:p>
      <w:r>
        <w:rPr>
          <w:b w:val="0"/>
        </w:rPr>
        <w:t>Location: paragraphs 639–648  ·  Section: Termination of Employment of Migrant Workers</w:t>
      </w:r>
    </w:p>
    <w:p>
      <w:pPr>
        <w:pStyle w:val="ListBullet"/>
      </w:pPr>
      <w:r>
        <w:rPr>
          <w:b w:val="0"/>
        </w:rPr>
        <w:t>The result is right — the petition was granted and the dismissal held illegal. Two things under it are not.</w:t>
      </w:r>
    </w:p>
    <w:p>
      <w:pPr>
        <w:pStyle w:val="ListBullet"/>
      </w:pPr>
      <w:r>
        <w:rPr>
          <w:b w:val="0"/>
        </w:rPr>
        <w:t>The Facts and the [APPLICATION] both say Buenaflor was "dismissed two days after boarding." The decision: "He signed on the vessel to begin his employment on July 25, 2010. Two (2) days after signing on or on July 27, 2010, Marine Pollution (MARPOL) inspectors boarded the Stolt Shearwater." The dismissal came on August 22 and he was repatriated on August 26. What happened two days in was the inspection.</w:t>
      </w:r>
    </w:p>
    <w:p>
      <w:pPr>
        <w:pStyle w:val="ListBullet"/>
      </w:pPr>
      <w:r>
        <w:rPr>
          <w:b w:val="0"/>
        </w:rPr>
        <w:t>The digest uses the compressed interval as proof that no disciplinary procedure was observed, so the [APPLICATION] has to be rebuilt on the real sequence.</w:t>
      </w:r>
    </w:p>
    <w:p>
      <w:pPr>
        <w:pStyle w:val="ListBullet"/>
      </w:pPr>
      <w:r>
        <w:rPr>
          <w:b w:val="0"/>
        </w:rPr>
        <w:t>The reasoning is also misdescribed. The digest says "one incident, even if proved, does not establish incompetence." The Court did not reach that; it found the proof wanting — the July 29 logbook entry's authenticity was doubted (an unexplained gap and blank space before the next entry), and the officers named as witnesses had signed off the vessel and could not have witnessed what they attested to.</w:t>
      </w:r>
    </w:p>
    <w:p>
      <w:r>
        <w:rPr>
          <w:b w:val="0"/>
        </w:rPr>
        <w:t>Which elements are defective: the Facts paragraph and the [APPLICATION]. ISSUE, RULING/ANSWER, [LEGAL BASIS] and [CONCLUSION] can stand.</w:t>
      </w:r>
    </w:p>
    <w:p>
      <w:r>
        <w:rPr>
          <w:b w:val="0"/>
        </w:rPr>
        <w:t>Verified at: lawphil.net/judjuris/juri2022/jun2022/gr_221664_2022.html</w:t>
      </w:r>
    </w:p>
    <w:p>
      <w:r>
        <w:rPr>
          <w:b/>
        </w:rPr>
        <w:t>A8.  Jose Rizal College v. NLRC, G.R. No. L-65482, December 1, 1987</w:t>
      </w:r>
    </w:p>
    <w:p>
      <w:r>
        <w:rPr>
          <w:b w:val="0"/>
        </w:rPr>
        <w:t>Location: paragraph 1974  ·  Section: Holiday Pay</w:t>
      </w:r>
    </w:p>
    <w:p>
      <w:pPr>
        <w:pStyle w:val="ListBullet"/>
      </w:pPr>
      <w:r>
        <w:rPr>
          <w:b w:val="0"/>
        </w:rPr>
        <w:t>The paragraph reads: "Private school teachers: not entitled to holiday pay during semestral vacations, but entitled during Christmas vacation. Hourly-paid faculty are not entitled to pay for regular holidays falling within the semester, as they are paid only for hours actually taught." The case is cited for all of it.</w:t>
      </w:r>
    </w:p>
    <w:p>
      <w:pPr>
        <w:pStyle w:val="ListBullet"/>
      </w:pPr>
      <w:r>
        <w:rPr>
          <w:b w:val="0"/>
        </w:rPr>
        <w:t>The decision holds the opposite of the Christmas-vacation half. Its disposition: "(a) exempting petitioner from paying hourly paid faculty members their pay for regular holidays, whether the same be during the regular semesters of the school year or during semestral, Christmas, or Holy Week vacations." The exemption covers Christmas vacation expressly.</w:t>
      </w:r>
    </w:p>
    <w:p>
      <w:pPr>
        <w:pStyle w:val="ListBullet"/>
      </w:pPr>
      <w:r>
        <w:rPr>
          <w:b w:val="0"/>
        </w:rPr>
        <w:t>The paragraph also drops limb (b), which is the half that earns a mark: "but ordering petitioner to pay said faculty members their regular hourly rate on days declared as special holidays or for some reason classes are called off or shortened for the hours they are supposed to have taught, whether extensions of class days be ordered or not."</w:t>
      </w:r>
    </w:p>
    <w:p>
      <w:pPr>
        <w:pStyle w:val="ListBullet"/>
      </w:pPr>
      <w:r>
        <w:rPr>
          <w:b w:val="0"/>
        </w:rPr>
        <w:t>The "entitled during Christmas vacation" rule the reviewer states belongs to the line of cases on monthly-paid school personnel, not to this one. Whatever authority it rests on, it is not Jose Rizal College.</w:t>
      </w:r>
    </w:p>
    <w:p>
      <w:r>
        <w:rPr>
          <w:b w:val="0"/>
        </w:rPr>
        <w:t>Which element is defective: the whole of par. 1974 as attributed to this case.</w:t>
      </w:r>
    </w:p>
    <w:p>
      <w:r>
        <w:rPr>
          <w:b w:val="0"/>
        </w:rPr>
        <w:t>Verified at: lawphil.net/judjuris/juri1987/dec1987/gr_65482_1987.html</w:t>
      </w:r>
    </w:p>
    <w:p>
      <w:r>
        <w:rPr>
          <w:b/>
        </w:rPr>
        <w:t>A9.  Padilla v. Airborne Security Service, Inc., G.R. No. 210080, November 22, 2017</w:t>
      </w:r>
    </w:p>
    <w:p>
      <w:r>
        <w:rPr>
          <w:b w:val="0"/>
        </w:rPr>
        <w:t>Location: paragraphs 1381–1390  ·  Section: Security Guards / floating status</w:t>
      </w:r>
    </w:p>
    <w:p>
      <w:pPr>
        <w:pStyle w:val="ListBullet"/>
      </w:pPr>
      <w:r>
        <w:rPr>
          <w:b w:val="0"/>
        </w:rPr>
        <w:t>The holding is right: Padilla was constructively dismissed when he was left on floating status past six months and told his age made reassignment hard.</w:t>
      </w:r>
    </w:p>
    <w:p>
      <w:pPr>
        <w:pStyle w:val="ListBullet"/>
      </w:pPr>
      <w:r>
        <w:rPr>
          <w:b w:val="0"/>
        </w:rPr>
        <w:t>The [CONCLUSION] then says he "is entitled to reinstatement." He was not given reinstatement. The fallo orders Airborne to pay him "(1) Full backwages and other benefits ...; (2) Separation pay computed from the date petitioner commenced employment until the finality of this Decision at the rate of one (1) month's salary for every year of service ...; and (3) Attorney's fees equivalent to ten percent (10%) of the total award."</w:t>
      </w:r>
    </w:p>
    <w:p>
      <w:pPr>
        <w:pStyle w:val="ListBullet"/>
      </w:pPr>
      <w:r>
        <w:rPr>
          <w:b w:val="0"/>
        </w:rPr>
        <w:t>Separation pay in lieu of reinstatement is the point worth carrying over from this case, given the guard's age and years of service. The digest substitutes the one relief the Court did not grant.</w:t>
      </w:r>
    </w:p>
    <w:p>
      <w:r>
        <w:rPr>
          <w:b w:val="0"/>
        </w:rPr>
        <w:t>Which element is defective: the [CONCLUSION]. Facts, ISSUE, RULING/ANSWER, [LEGAL BASIS] and [APPLICATION] are sound.</w:t>
      </w:r>
    </w:p>
    <w:p>
      <w:r>
        <w:rPr>
          <w:b w:val="0"/>
        </w:rPr>
        <w:t>Verified at: lawphil.net/judjuris/juri2017/nov2017/gr_210080_2017.html</w:t>
      </w:r>
    </w:p>
    <w:p>
      <w:r>
        <w:rPr>
          <w:b/>
        </w:rPr>
        <w:t>A10.  Salenga v. Court of Appeals, G.R. No. 174941, February 1, 2012</w:t>
      </w:r>
    </w:p>
    <w:p>
      <w:r>
        <w:rPr>
          <w:b w:val="0"/>
        </w:rPr>
        <w:t>Location: paragraphs 1595–1604  ·  Section: GOCCs without original charter / jurisdiction</w:t>
      </w:r>
    </w:p>
    <w:p>
      <w:pPr>
        <w:pStyle w:val="ListBullet"/>
      </w:pPr>
      <w:r>
        <w:rPr>
          <w:b w:val="0"/>
        </w:rPr>
        <w:t>The holding on jurisdiction is right: Salenga was not a corporate officer, so the dispute is not intra-corporate and the NLRC had jurisdiction.</w:t>
      </w:r>
    </w:p>
    <w:p>
      <w:pPr>
        <w:pStyle w:val="ListBullet"/>
      </w:pPr>
      <w:r>
        <w:rPr>
          <w:b w:val="0"/>
        </w:rPr>
        <w:t>The [CONCLUSION] says that "since CDC's appeal was filed w/o board authority and was not perfected, the LA's decision in favor of Salenga became final." That is not the disposition. The fallo: "the Petition in G.R. No. 174941 is partially GRANTED. The Decision of LA Darlucio is REINSTATED insofar as respondent corporation's liability is concerned. Considering that petitioner did not maintain the action against Rufo Colayco, the latter is not solidarily liable with respondent Clark Development Corporation. The case is REMANDED to the labor arbiter for the computation of petitioner's retirement benefits in accordance with ... R.A. No. 8282, deducting therefrom the sums already paid by respondent CDC."</w:t>
      </w:r>
    </w:p>
    <w:p>
      <w:pPr>
        <w:pStyle w:val="ListBullet"/>
      </w:pPr>
      <w:r>
        <w:rPr>
          <w:b w:val="0"/>
        </w:rPr>
        <w:t>Two things the digest loses: the release of Colayco from solidary liability, and the remand for computation of retirement benefits under the Social Security Act with a deduction for sums already paid. "Became final" describes neither.</w:t>
      </w:r>
    </w:p>
    <w:p>
      <w:r>
        <w:rPr>
          <w:b w:val="0"/>
        </w:rPr>
        <w:t>Which element is defective: the [CONCLUSION].</w:t>
      </w:r>
    </w:p>
    <w:p>
      <w:r>
        <w:rPr>
          <w:b w:val="0"/>
        </w:rPr>
        <w:t>Verified at: lawphil.net/judjuris/juri2012/feb2012/gr_174941_2012.html</w:t>
      </w:r>
    </w:p>
    <w:p>
      <w:r>
        <w:rPr>
          <w:b/>
        </w:rPr>
        <w:t>A11.  The two-tiered test, as stated at paragraph 1444 — Ditiangkin v. Lazada E-Services Philippines, Inc., G.R. No. 246892, September 21, 2022</w:t>
      </w:r>
    </w:p>
    <w:p>
      <w:r>
        <w:rPr>
          <w:b w:val="0"/>
        </w:rPr>
        <w:t>Location: paragraph 1444, against paragraphs 2793–2798 and 2909  ·  Section: Tests for the Employer-Employee Relationship</w:t>
      </w:r>
    </w:p>
    <w:p>
      <w:pPr>
        <w:pStyle w:val="ListBullet"/>
      </w:pPr>
      <w:r>
        <w:rPr>
          <w:b w:val="0"/>
        </w:rPr>
        <w:t>Par. 1444 says that in one of the rider cases "the Supreme Court did not use the four-fold test but the economic reality test," and that the test "is two-tiered: first, look into the nature of the business of the putative employer; then, look into the involvement of the so-called employee in that business."</w:t>
      </w:r>
    </w:p>
    <w:p>
      <w:pPr>
        <w:pStyle w:val="ListBullet"/>
      </w:pPr>
      <w:r>
        <w:rPr>
          <w:b w:val="0"/>
        </w:rPr>
        <w:t>Ditiangkin says: "To determine the existence of an employer-employee relationship, this Court employs a two-tiered test: the four-fold test and the economic dependence test." The four-fold test is not displaced; it is the first tier.</w:t>
      </w:r>
    </w:p>
    <w:p>
      <w:pPr>
        <w:pStyle w:val="ListBullet"/>
      </w:pPr>
      <w:r>
        <w:rPr>
          <w:b w:val="0"/>
        </w:rPr>
        <w:t>So par. 1444 is wrong twice: on what the Court did, and on what the two tiers are.</w:t>
      </w:r>
    </w:p>
    <w:p>
      <w:pPr>
        <w:pStyle w:val="ListBullet"/>
      </w:pPr>
      <w:r>
        <w:rPr>
          <w:b w:val="0"/>
        </w:rPr>
        <w:t>The reviewer states it correctly elsewhere. Pars. 2793–2798 give Tier 1 as the control test and Tier 2 as the economic reality or dependence test, and par. 2909 repeats that pairing. Par. 1444 is the outlier, and it is the passage a reader meets first and applies to the rider, driver and fitness-trainer problems.</w:t>
      </w:r>
    </w:p>
    <w:p>
      <w:pPr>
        <w:pStyle w:val="ListBullet"/>
      </w:pPr>
      <w:r>
        <w:rPr>
          <w:b w:val="0"/>
        </w:rPr>
        <w:t>The formulation par. 1444 gives describes what is weighed inside the economic-dependence tier, not the two tiers themselves.</w:t>
      </w:r>
    </w:p>
    <w:p>
      <w:r>
        <w:rPr>
          <w:b w:val="0"/>
        </w:rPr>
        <w:t>Which element is defective: the second half of the RULING/ANSWER at par. 1444. Pars. 2793–2798 and 2909 need no change.</w:t>
      </w:r>
    </w:p>
    <w:p>
      <w:r>
        <w:rPr>
          <w:b w:val="0"/>
        </w:rPr>
        <w:t>Verified at: lawphil.net/judjuris/juri2022/sep2022/gr_246892_2022.html</w:t>
      </w:r>
    </w:p>
    <w:p>
      <w:r>
        <w:rPr>
          <w:b/>
        </w:rPr>
        <w:t>A12.  Felicilda v. Uy, G.R. No. 221241, September 14, 2016</w:t>
      </w:r>
    </w:p>
    <w:p>
      <w:r>
        <w:rPr>
          <w:b w:val="0"/>
        </w:rPr>
        <w:t>Location: paragraph 2909  ·  Section: Drivers</w:t>
      </w:r>
    </w:p>
    <w:p>
      <w:pPr>
        <w:pStyle w:val="ListBullet"/>
      </w:pPr>
      <w:r>
        <w:rPr>
          <w:b w:val="0"/>
        </w:rPr>
        <w:t>The answer says: "The applicable test is the economic reality test, not the four-fold test, because there are other employers."</w:t>
      </w:r>
    </w:p>
    <w:p>
      <w:pPr>
        <w:pStyle w:val="ListBullet"/>
      </w:pPr>
      <w:r>
        <w:rPr>
          <w:b w:val="0"/>
        </w:rPr>
        <w:t>The decision does not use the economic reality test. The phrases "economic reality" and "economic dependence" do not appear in it at all; it applies the four-fold test and turns on control, holding that actual supervision is not required for control to exist. The fallo grants the petition and reinstates the NLRC ruling that Felicilda was an employee.</w:t>
      </w:r>
    </w:p>
    <w:p>
      <w:pPr>
        <w:pStyle w:val="ListBullet"/>
      </w:pPr>
      <w:r>
        <w:rPr>
          <w:b w:val="0"/>
        </w:rPr>
        <w:t>The reasoning the paragraph then gives is control reasoning wearing the wrong label — the fixed routes, the instruction on how the goods were to be stacked, the prescribed time to return the truck.</w:t>
      </w:r>
    </w:p>
    <w:p>
      <w:pPr>
        <w:pStyle w:val="ListBullet"/>
      </w:pPr>
      <w:r>
        <w:rPr>
          <w:b w:val="0"/>
        </w:rPr>
        <w:t>The freedom to drive for others is answered within the control analysis, not by switching tests; and payment per trip is disposed of as a mode of computing wages, which is the point the reviewer itself makes correctly at pars. 2905 and 2910–2919 (Upod).</w:t>
      </w:r>
    </w:p>
    <w:p>
      <w:r>
        <w:rPr>
          <w:b w:val="0"/>
        </w:rPr>
        <w:t>Which element is defective: the first two sentences of the RULING/ANSWER at par. 2909. The outcome — that the independent-contractor defence fails — is correct.</w:t>
      </w:r>
    </w:p>
    <w:p>
      <w:r>
        <w:rPr>
          <w:b w:val="0"/>
        </w:rPr>
        <w:t>Verified at: lawphil.net/judjuris/juri2016/sep2016/gr_221241_2016.html</w:t>
      </w:r>
    </w:p>
    <w:p>
      <w:r>
        <w:rPr>
          <w:b w:val="0"/>
        </w:rPr>
        <w:t>____________________________________________________________________________________________</w:t>
      </w:r>
    </w:p>
    <w:p>
      <w:r>
        <w:rPr>
          <w:b/>
        </w:rPr>
        <w:t>PRIORITY B — DOUBTFUL ENTRIES</w:t>
      </w:r>
    </w:p>
    <w:p>
      <w:r>
        <w:rPr>
          <w:b w:val="0"/>
        </w:rPr>
        <w:t>Continuing B1–B3. The stated answers are right; each drops something from the disposition that matters.</w:t>
      </w:r>
    </w:p>
    <w:p>
      <w:r>
        <w:rPr>
          <w:b/>
        </w:rPr>
        <w:t>B4.  Paz v. Northern Tobacco Redrying Co., Inc., G.R. No. 199554, February 18, 2015  [restated]</w:t>
      </w:r>
    </w:p>
    <w:p>
      <w:r>
        <w:rPr>
          <w:b w:val="0"/>
        </w:rPr>
        <w:t>Location: paragraphs 991–1000  ·  Section: Part V — Seasonal Employees</w:t>
      </w:r>
    </w:p>
    <w:p>
      <w:pPr>
        <w:pStyle w:val="ListBullet"/>
      </w:pPr>
      <w:r>
        <w:rPr>
          <w:b w:val="0"/>
        </w:rPr>
        <w:t>Revision 4 flagged this as a mischaracterised disposition on the strength of secondary accounts. The full text shows that overstated it. The characterisation is defensible; the relief is not complete.</w:t>
      </w:r>
    </w:p>
    <w:p>
      <w:pPr>
        <w:pStyle w:val="ListBullet"/>
      </w:pPr>
      <w:r>
        <w:rPr>
          <w:b w:val="0"/>
        </w:rPr>
        <w:t>The fallo awards five items: "(1) P22,200.00 as full backwages; (2) P30,000.00 as nominal damages for non-compliance with due process; (3) P12,487.50 as retirement pay; (4) P60,356.25 as financial assistance; and (5) P2,664.00 as legal interest." The digest's [CONCLUSION] mentions only that retirement pay must be computed under Art. 302.</w:t>
      </w:r>
    </w:p>
    <w:p>
      <w:pPr>
        <w:pStyle w:val="ListBullet"/>
      </w:pPr>
      <w:r>
        <w:rPr>
          <w:b w:val="0"/>
        </w:rPr>
        <w:t>The nominal damages are the examinable part: they are awarded for want of due process, which tells you the Court treated the "retirement" as a termination effected without the required notice. The financial assistance is larger than the retirement pay itself and is the kind of item a question on this case would ask about.</w:t>
      </w:r>
    </w:p>
    <w:p>
      <w:pPr>
        <w:pStyle w:val="ListBullet"/>
      </w:pPr>
      <w:r>
        <w:rPr>
          <w:b w:val="0"/>
        </w:rPr>
        <w:t>The regular-seasonal holding and the finding that no valid retirement plan was proved are both sound.</w:t>
      </w:r>
    </w:p>
    <w:p>
      <w:r>
        <w:rPr>
          <w:b w:val="0"/>
        </w:rPr>
        <w:t>Which element is defective: the [CONCLUSION], as incomplete. The Facts, ISSUE and RULING/ANSWER stand.</w:t>
      </w:r>
    </w:p>
    <w:p>
      <w:r>
        <w:rPr>
          <w:b w:val="0"/>
        </w:rPr>
        <w:t>Verified at: lawphil.net/judjuris/juri2015/feb2015/gr_199554_2015.html</w:t>
      </w:r>
    </w:p>
    <w:p>
      <w:r>
        <w:rPr>
          <w:b/>
        </w:rPr>
        <w:t>B6.  Philippine Telegraph and Telephone Co. v. NLRC, G.R. No. 118978, May 23, 1997  [confirmed]</w:t>
      </w:r>
    </w:p>
    <w:p>
      <w:r>
        <w:rPr>
          <w:b w:val="0"/>
        </w:rPr>
        <w:t>Location: paragraphs 1291–1300  ·  Section: Women Workers / stipulation against marriage</w:t>
      </w:r>
    </w:p>
    <w:p>
      <w:pPr>
        <w:pStyle w:val="ListBullet"/>
      </w:pPr>
      <w:r>
        <w:rPr>
          <w:b w:val="0"/>
        </w:rPr>
        <w:t>The rule is right and the petition was dismissed with double costs. What the digest drops is the qualification.</w:t>
      </w:r>
    </w:p>
    <w:p>
      <w:pPr>
        <w:pStyle w:val="ListBullet"/>
      </w:pPr>
      <w:r>
        <w:rPr>
          <w:b w:val="0"/>
        </w:rPr>
        <w:t>The Court: "as she had undeniably committed an act of dishonesty in concealing her status, albeit under the compulsion of an unlawful imposition of petitioner, the three-month suspension imposed by respondent NLRC must be upheld to obviate the impression or inference that such act should be condoned ... her entitlement to back wages ... shall be reduced by deducting therefrom the amount corresponding to her three months suspension."</w:t>
      </w:r>
    </w:p>
    <w:p>
      <w:pPr>
        <w:pStyle w:val="ListBullet"/>
      </w:pPr>
      <w:r>
        <w:rPr>
          <w:b w:val="0"/>
        </w:rPr>
        <w:t>So de Guzman was reinstated, but with backwages cut by three months as a sanction for declaring herself single. A digest ending at "her dismissal was illegal" presents an unqualified win.</w:t>
      </w:r>
    </w:p>
    <w:p>
      <w:pPr>
        <w:pStyle w:val="ListBullet"/>
      </w:pPr>
      <w:r>
        <w:rPr>
          <w:b w:val="0"/>
        </w:rPr>
        <w:t>The Facts should carry the concealment as a fact of record, since the Court's handling of it is what makes the case more than a one-line rule.</w:t>
      </w:r>
    </w:p>
    <w:p>
      <w:r>
        <w:rPr>
          <w:b w:val="0"/>
        </w:rPr>
        <w:t>Which element is defective: the [CONCLUSION], and the Facts to the extent they omit the second ground.</w:t>
      </w:r>
    </w:p>
    <w:p>
      <w:r>
        <w:rPr>
          <w:b w:val="0"/>
        </w:rPr>
        <w:t>Verified at: lawphil.net/judjuris/juri1997/may1997/gr_118978_1997.html</w:t>
      </w:r>
    </w:p>
    <w:p>
      <w:r>
        <w:rPr>
          <w:b/>
        </w:rPr>
        <w:t>B10.  Grand Asian Shipping Lines, Inc. v. Galvez, G.R. No. 178184, January 29, 2014  [restated]</w:t>
      </w:r>
    </w:p>
    <w:p>
      <w:r>
        <w:rPr>
          <w:b w:val="0"/>
        </w:rPr>
        <w:t>Location: paragraphs 2298–2307  ·  Section: Hours of Work / field personnel</w:t>
      </w:r>
    </w:p>
    <w:p>
      <w:pPr>
        <w:pStyle w:val="ListBullet"/>
      </w:pPr>
      <w:r>
        <w:rPr>
          <w:b w:val="0"/>
        </w:rPr>
        <w:t>Revision 4 doubted the double indemnity. That doubt is withdrawn: the fallo orders "salary differentials plus double indemnity, as computed by the Labor Arbiter" for six named respondents. The digest is right on that point. (Note the contrast with Marby Food Ventures, G.R. No. 244629, where the double-indemnity penalty was expressly deleted — the two are worth reading together.)</w:t>
      </w:r>
    </w:p>
    <w:p>
      <w:pPr>
        <w:pStyle w:val="ListBullet"/>
      </w:pPr>
      <w:r>
        <w:rPr>
          <w:b w:val="0"/>
        </w:rPr>
        <w:t>The real defect is that the case is not the labor-standards case the digest describes. Its fallo: "Wilfredo Galvez and Cristito Gruta are hereby DECLARED dismissed from employment for just cause while respondent Joel Sales was not dismissed from employment. Respondents Danilo Arguelles, Renato Batayola, Patricio Fresmillo, Jovy Noble, Emilio Dominico, Benny Nilmao, and Jose Austral are DECLARED to have been illegally dismissed," with reinstatement, full backwages and 13th month pay. The dismissals over an alleged pilferage of fuel oil are the subject of the case and the digest never mentions them.</w:t>
      </w:r>
    </w:p>
    <w:p>
      <w:pPr>
        <w:pStyle w:val="ListBullet"/>
      </w:pPr>
      <w:r>
        <w:rPr>
          <w:b w:val="0"/>
        </w:rPr>
        <w:t>The [CONCLUSION] also says the captain "is not entitled to these benefits." Galvez was in fact awarded unpaid salaries for February 16–29, 2000; what he lost was the premium-pay items, as a managerial employee, and his dismissal was upheld for just cause.</w:t>
      </w:r>
    </w:p>
    <w:p>
      <w:pPr>
        <w:pStyle w:val="ListBullet"/>
      </w:pPr>
      <w:r>
        <w:rPr>
          <w:b w:val="0"/>
        </w:rPr>
        <w:t>The double indemnity went to six of the crew, not to all of them. Name them or state the ground, or the award cannot be reproduced.</w:t>
      </w:r>
    </w:p>
    <w:p>
      <w:r>
        <w:rPr>
          <w:b w:val="0"/>
        </w:rPr>
        <w:t>Which elements are defective: the Facts, as to the subject of the case, and the [CONCLUSION], as to the captain and the scope of the double indemnity. The field-personnel analysis is correct.</w:t>
      </w:r>
    </w:p>
    <w:p>
      <w:r>
        <w:rPr>
          <w:b w:val="0"/>
        </w:rPr>
        <w:t>Verified at: lawphil.net/judjuris/juri2014/jan2014/gr_178184_2014.html</w:t>
      </w:r>
    </w:p>
    <w:p>
      <w:r>
        <w:rPr>
          <w:b/>
        </w:rPr>
        <w:t>B11.  Millares and Lagda v. NLRC, G.R. No. 110524, July 29, 2002  [new]</w:t>
      </w:r>
    </w:p>
    <w:p>
      <w:r>
        <w:rPr>
          <w:b w:val="0"/>
        </w:rPr>
        <w:t>Location: paragraphs 660–669  ·  Section: Seafarers</w:t>
      </w:r>
    </w:p>
    <w:p>
      <w:pPr>
        <w:pStyle w:val="ListBullet"/>
      </w:pPr>
      <w:r>
        <w:rPr>
          <w:b w:val="0"/>
        </w:rPr>
        <w:t>The holding is right, and the date is right: this is the 2002 Resolution, which reversed the Court's own March 14, 2000 decision. Seafarers are contractual employees; twenty years of successive contracts did not make Millares and Lagda regular.</w:t>
      </w:r>
    </w:p>
    <w:p>
      <w:pPr>
        <w:pStyle w:val="ListBullet"/>
      </w:pPr>
      <w:r>
        <w:rPr>
          <w:b w:val="0"/>
        </w:rPr>
        <w:t>The [CONCLUSION] — "they are not regular employees and are not entitled to separation and retirement benefits under the Labor Code" — reads as a total loss. It was not. The disposition: "the Court Resolved to Partially GRANT Private Respondent's Second Motion for Reconsideration ... The Decision of the National Labor Relations Commission dated June 1, 1993 is hereby REINSTATED with MODIFICATION. The Private Respondents, Trans-Global Maritime Agency, Inc. and Esso International Shipping Co., Ltd. are hereby jointly and severally ORDERED to pay petitioners One Hundred Percent (100%) of their total credited contributions as provided under the Consecutive Enlistment Incentive Plan (CEIP)."</w:t>
      </w:r>
    </w:p>
    <w:p>
      <w:pPr>
        <w:pStyle w:val="ListBullet"/>
      </w:pPr>
      <w:r>
        <w:rPr>
          <w:b w:val="0"/>
        </w:rPr>
        <w:t>The CEIP award is the practical answer to "what does a long-serving seafarer get, if not regular status," and it is the half of the case a question would turn on. Same shape as B2 (Corpuz).</w:t>
      </w:r>
    </w:p>
    <w:p>
      <w:pPr>
        <w:pStyle w:val="ListBullet"/>
      </w:pPr>
      <w:r>
        <w:rPr>
          <w:b w:val="0"/>
        </w:rPr>
        <w:t>Worth adding that the 2002 ruling is a reversal of the Court's own earlier decision in the same case, since a reader who finds the March 14, 2000 decision first will get the opposite answer.</w:t>
      </w:r>
    </w:p>
    <w:p>
      <w:r>
        <w:rPr>
          <w:b w:val="0"/>
        </w:rPr>
        <w:t>Which element is defective: the [CONCLUSION]. The Facts, ISSUE, RULING/ANSWER and [LEGAL BASIS] are sound.</w:t>
      </w:r>
    </w:p>
    <w:p>
      <w:r>
        <w:rPr>
          <w:b w:val="0"/>
        </w:rPr>
        <w:t>Verified at: lawphil.net/judjuris/juri2002/jul2002/gr_110524_2002.html</w:t>
      </w:r>
    </w:p>
    <w:p>
      <w:r>
        <w:rPr>
          <w:b/>
        </w:rPr>
        <w:t>B12.  Minsola v. New City Builders, Inc., G.R. No. 207613, January 31, 2018  [new]</w:t>
      </w:r>
    </w:p>
    <w:p>
      <w:r>
        <w:rPr>
          <w:b w:val="0"/>
        </w:rPr>
        <w:t>Location: paragraphs 866–875  ·  Section: Project Employees</w:t>
      </w:r>
    </w:p>
    <w:p>
      <w:pPr>
        <w:pStyle w:val="ListBullet"/>
      </w:pPr>
      <w:r>
        <w:rPr>
          <w:b w:val="0"/>
        </w:rPr>
        <w:t>The holding is right: Minsola was a project employee and the illegal dismissal complaint was dismissed.</w:t>
      </w:r>
    </w:p>
    <w:p>
      <w:pPr>
        <w:pStyle w:val="ListBullet"/>
      </w:pPr>
      <w:r>
        <w:rPr>
          <w:b w:val="0"/>
        </w:rPr>
        <w:t>The [CONCLUSION] stops there. The fallo goes further: "the petition is partly granted ... by awarding petitioner Reyman G. Minsola his salary differentials, service incentive leave pay differentials, holiday pay, and ten percent attorney's fees, in addition to his 13th month pay differential awarded by the appellate court."</w:t>
      </w:r>
    </w:p>
    <w:p>
      <w:pPr>
        <w:pStyle w:val="ListBullet"/>
      </w:pPr>
      <w:r>
        <w:rPr>
          <w:b w:val="0"/>
        </w:rPr>
        <w:t>This is the useful lesson of the case and the digest loses it: losing on status does not lose the labor standards claims. A project employee validly separated still recovers wage and benefit differentials.</w:t>
      </w:r>
    </w:p>
    <w:p>
      <w:pPr>
        <w:pStyle w:val="ListBullet"/>
      </w:pPr>
      <w:r>
        <w:rPr>
          <w:b w:val="0"/>
        </w:rPr>
        <w:t>This also corrects Revision 4, which reported the award as the 13th-month differential alone. That was from a secondary summary and was wrong.</w:t>
      </w:r>
    </w:p>
    <w:p>
      <w:r>
        <w:rPr>
          <w:b w:val="0"/>
        </w:rPr>
        <w:t>Which element is defective: the [CONCLUSION], as incomplete.</w:t>
      </w:r>
    </w:p>
    <w:p>
      <w:r>
        <w:rPr>
          <w:b w:val="0"/>
        </w:rPr>
        <w:t>Verified at: lawphil.net/judjuris/juri2018/jan2018/gr_207613_2018.html</w:t>
      </w:r>
    </w:p>
    <w:p>
      <w:r>
        <w:rPr>
          <w:b/>
        </w:rPr>
        <w:t>B13.  People v. Urquico, G.R. No. 238910, July 20, 2022  [restated and reduced]</w:t>
      </w:r>
    </w:p>
    <w:p>
      <w:r>
        <w:rPr>
          <w:b w:val="0"/>
        </w:rPr>
        <w:t>Location: paragraphs 422–424  ·  Section: Part III — Illegal Recruitment</w:t>
      </w:r>
    </w:p>
    <w:p>
      <w:pPr>
        <w:pStyle w:val="ListBullet"/>
      </w:pPr>
      <w:r>
        <w:rPr>
          <w:b w:val="0"/>
        </w:rPr>
        <w:t>Revision 4 doubted the case name. The text largely answers that: the caption is "PEOPLE OF THE PHILIPPINES v. PERLITA CASTRO URQUICO @ FHEY, CARLO VILLAVICENCIO, JR. @ BOYET, AND ELNORA MANDELMA @ LATHEA ESTEFANOS STELLIOS, ACCUSED," so Urquico is the first-named accused and the short title is defensible. That part of the Revision 4 finding is withdrawn.</w:t>
      </w:r>
    </w:p>
    <w:p>
      <w:pPr>
        <w:pStyle w:val="ListBullet"/>
      </w:pPr>
      <w:r>
        <w:rPr>
          <w:b w:val="0"/>
        </w:rPr>
        <w:t>What remains worth noting is that the appeal resolved was Mandelma's, not Urquico's: "the appeal is hereby DISMISSED. The September 14, 2017 Decision of the Court of Appeals ... is AFFIRMED WITH MODIFICATION" as to the indeterminate penalties for each count of estafa. A digest that names only Urquico will not lead a reader to the accused-appellant whose conviction was reviewed.</w:t>
      </w:r>
    </w:p>
    <w:p>
      <w:pPr>
        <w:pStyle w:val="ListBullet"/>
      </w:pPr>
      <w:r>
        <w:rPr>
          <w:b w:val="0"/>
        </w:rPr>
        <w:t>One wording defect stands, and it is not cosmetic: the answer says alibi "will not prevail over dispositive and categorical testimonies." The standard is positive and categorical testimony. "Dispositive" means something else in this context and garbles the evidentiary rule.</w:t>
      </w:r>
    </w:p>
    <w:p>
      <w:pPr>
        <w:pStyle w:val="ListBullet"/>
      </w:pPr>
      <w:r>
        <w:rPr>
          <w:b w:val="0"/>
        </w:rPr>
        <w:t>The substance — that illegal recruitment in large scale and estafa may both be prosecuted — is borne out by the conviction affirmed.</w:t>
      </w:r>
    </w:p>
    <w:p>
      <w:r>
        <w:rPr>
          <w:b w:val="0"/>
        </w:rPr>
        <w:t>Which elements are defective: the word "dispositive" at par. 424, and the heading to the extent it does not identify the accused-appellant.</w:t>
      </w:r>
    </w:p>
    <w:p>
      <w:r>
        <w:rPr>
          <w:b w:val="0"/>
        </w:rPr>
        <w:t>Verified at: lawphil.net/judjuris/juri2022/jul2022/gr_238910_2022.html</w:t>
      </w:r>
    </w:p>
    <w:p>
      <w:r>
        <w:rPr>
          <w:b w:val="0"/>
        </w:rPr>
        <w:t>____________________________________________________________________________________________</w:t>
      </w:r>
    </w:p>
    <w:p>
      <w:r>
        <w:rPr>
          <w:b/>
        </w:rPr>
        <w:t>PRIORITY C — ATTRIBUTION UNCLEAR</w:t>
      </w:r>
    </w:p>
    <w:p>
      <w:r>
        <w:rPr>
          <w:b w:val="0"/>
        </w:rPr>
        <w:t>Continuing C1. The law stated is sound or very likely sound; it sits under a case that does not supply it, or under no case at all.</w:t>
      </w:r>
    </w:p>
    <w:p>
      <w:r>
        <w:rPr>
          <w:b/>
        </w:rPr>
        <w:t>C2.  Santiago v. CF Sharp Crew Management, Inc., G.R. No. 162419, July 10, 2007  [confirmed]</w:t>
      </w:r>
    </w:p>
    <w:p>
      <w:r>
        <w:rPr>
          <w:b w:val="0"/>
        </w:rPr>
        <w:t>Location: paragraphs 497–509  ·  Section: Part VI — Liability of Local Recruitment and Manning Agencies</w:t>
      </w:r>
    </w:p>
    <w:p>
      <w:pPr>
        <w:pStyle w:val="ListBullet"/>
      </w:pPr>
      <w:r>
        <w:rPr>
          <w:b w:val="0"/>
        </w:rPr>
        <w:t>Par. 497 is the Santiago citation. Everything under it — the Transfer of Accreditation heading at 499, the ISSUE and RULING at 500–501, and the requisites and ceilings at 502–508 — comes from the POEA/DMW rules on accreditation. The decision is not about accreditation at any point.</w:t>
      </w:r>
    </w:p>
    <w:p>
      <w:pPr>
        <w:pStyle w:val="ListBullet"/>
      </w:pPr>
      <w:r>
        <w:rPr>
          <w:b w:val="0"/>
        </w:rPr>
        <w:t>What Santiago actually decides is the point the reviewer teaches elsewhere. Its fallo: "petition is GRANTED IN PART ... respondent CF Sharp Crew Management, Inc. is ordered to pay actual or compensatory damages in the amount of US$4,635.00 representing salary for nine (9) months as stated in the contract, and attorney's fees at the reasonable rate of 10% of the recoverable amount." A POEA-approved contract is perfected on signing; the agency answers in damages for failing to deploy, even though the employment relationship never commenced.</w:t>
      </w:r>
    </w:p>
    <w:p>
      <w:pPr>
        <w:pStyle w:val="ListBullet"/>
      </w:pPr>
      <w:r>
        <w:rPr>
          <w:b w:val="0"/>
        </w:rPr>
        <w:t>As the document stands, the one case most often cited first for that proposition carries material from the implementing rules, and its own holding appears nowhere under its own name.</w:t>
      </w:r>
    </w:p>
    <w:p>
      <w:pPr>
        <w:pStyle w:val="ListBullet"/>
      </w:pPr>
      <w:r>
        <w:rPr>
          <w:b w:val="0"/>
        </w:rPr>
        <w:t>Par. 498 is a second orphan: "Philippine Transmarine Carriers, Inc. v. NLRC: further clarifying the principle of imputed knowledge and the scope of joint and solidary liability" — a case with no G.R. number anywhere in the reviewer (see D5) and nothing under it but that line.</w:t>
      </w:r>
    </w:p>
    <w:p>
      <w:pPr>
        <w:pStyle w:val="ListBullet"/>
      </w:pPr>
      <w:r>
        <w:rPr>
          <w:b w:val="0"/>
        </w:rPr>
        <w:t>Par. 509 attributes the former agency's continuing solidary liability to Catan v. NLRC, also unnumbered throughout. The proposition is sound and is squarely supported by Questcore v. Bumanglag, which the reviewer already cites at par. 545 and which was verified in this pass. Citing Questcore there would make the point checkable.</w:t>
      </w:r>
    </w:p>
    <w:p>
      <w:r>
        <w:rPr>
          <w:b w:val="0"/>
        </w:rPr>
        <w:t>Worth restructuring so the accreditation rules sit under the rules and Santiago sits over its own holding.</w:t>
      </w:r>
    </w:p>
    <w:p>
      <w:r>
        <w:rPr>
          <w:b w:val="0"/>
        </w:rPr>
        <w:t>Verified at: lawphil.net/judjuris/juri2007/jul2007/gr_162419_2007.html</w:t>
      </w:r>
    </w:p>
    <w:p>
      <w:r>
        <w:rPr>
          <w:b/>
        </w:rPr>
        <w:t>C4.  Authorities left standing alone  [strengthened]</w:t>
      </w:r>
    </w:p>
    <w:p>
      <w:r>
        <w:rPr>
          <w:b w:val="0"/>
        </w:rPr>
        <w:t>Location: paragraphs 1534 and 3010</w:t>
      </w:r>
    </w:p>
    <w:p>
      <w:pPr>
        <w:pStyle w:val="ListBullet"/>
      </w:pPr>
      <w:r>
        <w:rPr>
          <w:b w:val="0"/>
        </w:rPr>
        <w:t>Par. 1534, SME Bank, Inc. v. De Guzman, G.R. Nos. 184517 and 186641, October 8, 2013. The paragraph after it is blank and the next heading starts a new subject. Read as a trailing authority it belongs to the stock-sale and asset-sale discussion at pars. 1525–1533, which states SME Bank correctly; nothing in the layout says so. The same discussion is also the answer to Bar Question No. 5 at pars. 2643–2645, where no authority is given at all. Put the citation where the doctrine is, and repeat it at Question No. 5.</w:t>
      </w:r>
    </w:p>
    <w:p>
      <w:pPr>
        <w:pStyle w:val="ListBullet"/>
      </w:pPr>
      <w:r>
        <w:rPr>
          <w:b w:val="0"/>
        </w:rPr>
        <w:t>Par. 3010, Century Properties, Inc. v. Babiano, G.R. No. 220978, July 5, 2016. This one is worse than orphaned. It sits immediately above the Portillo digest, which holds that unpaid salaries cannot be set off against a claim under a post-employment non-compete clause. A reader will take Babiano as supporting that. It ran the other way on the money: "the petition is PARTLY GRANTED ... MODIFIED in that the commissions of respondent Edwin J. Babiano are deemed FORFEITED."</w:t>
      </w:r>
    </w:p>
    <w:p>
      <w:pPr>
        <w:pStyle w:val="ListBullet"/>
      </w:pPr>
      <w:r>
        <w:rPr>
          <w:b w:val="0"/>
        </w:rPr>
        <w:t>Babiano and Portillo are both worth keeping and they need a sentence distinguishing them — forfeiture of commissions under a contractual clause on the one hand, jurisdiction and legal compensation over earned wages on the other. Left adjacent and unexplained they read as one proposition, and it is the wrong one.</w:t>
      </w:r>
    </w:p>
    <w:p>
      <w:r>
        <w:rPr>
          <w:b w:val="0"/>
        </w:rPr>
        <w:t>Which element is defective: the placement of both citations, and the absence of any note distinguishing Babiano from Portillo.</w:t>
      </w:r>
    </w:p>
    <w:p>
      <w:r>
        <w:rPr>
          <w:b w:val="0"/>
        </w:rPr>
        <w:t>Verified at: lawphil.net/judjuris/juri2016/jul2016/gr_220978_2016.html</w:t>
      </w:r>
    </w:p>
    <w:p>
      <w:r>
        <w:rPr>
          <w:b/>
        </w:rPr>
        <w:t>C5.  Government Service Insurance System v. Court of Appeals, G.R. No. 128524, April 20, 1999 — the "(Same ruling: Tancinco v. GSIS.)" parenthetical  [still open]</w:t>
      </w:r>
    </w:p>
    <w:p>
      <w:r>
        <w:rPr>
          <w:b w:val="0"/>
        </w:rPr>
        <w:t>Location: paragraph 2590  ·  Section: Employees' Compensation</w:t>
      </w:r>
    </w:p>
    <w:p>
      <w:pPr>
        <w:pStyle w:val="ListBullet"/>
      </w:pPr>
      <w:r>
        <w:rPr>
          <w:b w:val="0"/>
        </w:rPr>
        <w:t>The digest is right. The fallo grants the petition and reverses the Court of Appeals: the death of SPO2 Alegre, shot while ferrying passengers on his tricycle for extra income, is not compensable, and the 24-hour duty doctrine does not make every death of a policeman compensable.</w:t>
      </w:r>
    </w:p>
    <w:p>
      <w:pPr>
        <w:pStyle w:val="ListBullet"/>
      </w:pPr>
      <w:r>
        <w:rPr>
          <w:b w:val="0"/>
        </w:rPr>
        <w:t>The parenthetical is the open item. Tancinco v. GSIS, G.R. No. 132916, also concerns an officer killed off duty — shot while repairing a service vehicle in front of his house while the Vice-President he guarded was abroad — and the accounts reachable here disagree on the disposition. It was not opened in this pass.</w:t>
      </w:r>
    </w:p>
    <w:p>
      <w:pPr>
        <w:pStyle w:val="ListBullet"/>
      </w:pPr>
      <w:r>
        <w:rPr>
          <w:b w:val="0"/>
        </w:rPr>
        <w:t>Tancinco is in Revision 3's LIST 1, so it was opened in that pass and the answer should already be in those notes. If it went the other way, this is an A4-type defect — a case cited for the opposite of what it holds — and the fix is to the string, not to the digest.</w:t>
      </w:r>
    </w:p>
    <w:p>
      <w:r>
        <w:rPr>
          <w:b w:val="0"/>
        </w:rPr>
        <w:t>Which element is defective: the parenthetical at par. 2590, pending that check. The digest itself is sound.</w:t>
      </w:r>
    </w:p>
    <w:p>
      <w:r>
        <w:rPr>
          <w:b w:val="0"/>
        </w:rPr>
        <w:t>Verify at: lawphil.net/judjuris/juri2001/nov2001/gr_132916_2001.html</w:t>
      </w:r>
    </w:p>
    <w:p>
      <w:r>
        <w:rPr>
          <w:b/>
        </w:rPr>
        <w:t>C6.  BMG Records (Phils.), Inc. v. Aparecio, G.R. No. 153290, September 5, 2007  [new, minor]</w:t>
      </w:r>
    </w:p>
    <w:p>
      <w:r>
        <w:rPr>
          <w:b w:val="0"/>
        </w:rPr>
        <w:t>Location: paragraphs 3255–3261  ·  Section: Resignation</w:t>
      </w:r>
    </w:p>
    <w:p>
      <w:pPr>
        <w:pStyle w:val="ListBullet"/>
      </w:pPr>
      <w:r>
        <w:rPr>
          <w:b w:val="0"/>
        </w:rPr>
        <w:t>Par. 3261 answers "Who has the burden of proving that the resignation was voluntary?" with "The employer," under the BMG Records heading. The general rule is correctly stated.</w:t>
      </w:r>
    </w:p>
    <w:p>
      <w:pPr>
        <w:pStyle w:val="ListBullet"/>
      </w:pPr>
      <w:r>
        <w:rPr>
          <w:b w:val="0"/>
        </w:rPr>
        <w:t>BMG Records is an awkward case to state it under. The employer won: "the petition is GRANTED and the November 20, 2001 Decision and April 26, 2002 Resolution of the Court of Appeals ... are hereby REVERSED AND SET ASIDE," with the Labor Arbiter's decision reinstated. The Court held the resignations voluntary, reasoning that "what transpired here was caused by an employee's error of judgment and not by the employer's application of means vitiating the consent to resign."</w:t>
      </w:r>
    </w:p>
    <w:p>
      <w:pPr>
        <w:pStyle w:val="ListBullet"/>
      </w:pPr>
      <w:r>
        <w:rPr>
          <w:b w:val="0"/>
        </w:rPr>
        <w:t>A reader who takes this case as the authority for "the employer has the burden" will be surprised by the result, and will miss what the case is useful for — how an employer discharges that burden. Either add a line on the outcome or move the proposition to a case that illustrates it.</w:t>
      </w:r>
    </w:p>
    <w:p>
      <w:r>
        <w:rPr>
          <w:b w:val="0"/>
        </w:rPr>
        <w:t>Which element is defective: the pairing of the proposition at par. 3261 with this authority.</w:t>
      </w:r>
    </w:p>
    <w:p>
      <w:r>
        <w:rPr>
          <w:b w:val="0"/>
        </w:rPr>
        <w:t>Verified at: lawphil.net/judjuris/juri2007/sep2007/gr_153290_2007.html</w:t>
      </w:r>
    </w:p>
    <w:p>
      <w:r>
        <w:rPr>
          <w:b w:val="0"/>
        </w:rPr>
        <w:t>____________________________________________________________________________________________</w:t>
      </w:r>
    </w:p>
    <w:p>
      <w:r>
        <w:rPr>
          <w:b/>
        </w:rPr>
        <w:t>PRIORITY D — INCOMPLETE CITATIONS</w:t>
      </w:r>
    </w:p>
    <w:p>
      <w:r>
        <w:rPr>
          <w:b w:val="0"/>
        </w:rPr>
        <w:t>Continuing D1–D5. Carried over from Revision 4 unchanged; neither depends on a full text.</w:t>
      </w:r>
    </w:p>
    <w:p>
      <w:r>
        <w:rPr>
          <w:b/>
        </w:rPr>
        <w:t>D6 — A cross-reference with no date, carrying a proposition</w:t>
      </w:r>
    </w:p>
    <w:p>
      <w:pPr>
        <w:pStyle w:val="ListBullet"/>
      </w:pPr>
      <w:r>
        <w:rPr>
          <w:b w:val="0"/>
        </w:rPr>
        <w:t>Par. 731, "Cf. Guerrero v. Philippine Transmarine Carriers, Inc., G.R. No. 222523 (no date), on an injury sustained while exercising in the gym." The number is given and the date is not, and the aside is offered as a contrast to Arguilles (basketball on board, compensable) and Arriesgado. The contrast is the point of the sentence, so if the case does not hold what the aside implies, the Arguilles and Arriesgado discussion inherits the error. Supply the date and confirm the holding, or drop the "Cf."</w:t>
      </w:r>
    </w:p>
    <w:p>
      <w:r>
        <w:rPr>
          <w:b/>
        </w:rPr>
        <w:t>D7 — "Same ruling" strings inside the digests audited here</w:t>
      </w:r>
    </w:p>
    <w:p>
      <w:r>
        <w:rPr>
          <w:b w:val="0"/>
        </w:rPr>
        <w:t>Nine of the entries close with a string resting on a case never given a G.R. number anywhere in the reviewer. Paragraph locations, so they can be worked together with D5:</w:t>
      </w:r>
    </w:p>
    <w:p>
      <w:pPr>
        <w:pStyle w:val="ListBullet"/>
      </w:pPr>
      <w:r>
        <w:rPr>
          <w:b w:val="0"/>
        </w:rPr>
        <w:t>Par. 509 — Catan v. NLRC  ·  Par. 955 — Site for Eyes v. Daming  ·  Par. 1077 — Agustin v. Alphaland  ·  Par. 1156 — Century Canning v. CA; Atlanta Industries v. Sebolino  ·  Par. 1300 — Zialcita v. PAL  ·  Par. 1330 — Capin-Cadiz v. Brent Hospital; Union School International v. Dagdag; Bohol Wisdom School v. Mabao  ·  Par. 1994 — Dasco v. Philtranco  ·  Par. 2431 — DBP v. NLRC  ·  Par. 2590 — Tancinco v. GSIS (and see C5).</w:t>
      </w:r>
    </w:p>
    <w:p>
      <w:r>
        <w:rPr>
          <w:b w:val="0"/>
        </w:rPr>
        <w:t>Two notes carried forward and still applicable: Zialcita v. PAL at par. 1300 appears to be a labour-tribunal or Office of the President ruling rather than a Supreme Court decision, yet is offered as "same ruling" alongside PT&amp;T; and Union School International v. Dagdag does carry a number elsewhere in the reviewer (G.R. No. 234186), so only the string at par. 1330 needs it added.</w:t>
      </w:r>
    </w:p>
    <w:p>
      <w:r>
        <w:rPr>
          <w:b w:val="0"/>
        </w:rPr>
        <w:t>____________________________________________________________________________________________</w:t>
      </w:r>
    </w:p>
    <w:p>
      <w:r>
        <w:rPr>
          <w:b/>
        </w:rPr>
        <w:t>WITHDRAWN FROM REVISION 4</w:t>
      </w:r>
    </w:p>
    <w:p>
      <w:r>
        <w:rPr>
          <w:b w:val="0"/>
        </w:rPr>
        <w:t>These were raised on secondary accounts and the full texts do not bear them out. They are withdrawn, and the digests concerned are sound.</w:t>
      </w:r>
    </w:p>
    <w:p>
      <w:pPr>
        <w:pStyle w:val="ListBullet"/>
      </w:pPr>
      <w:r>
        <w:rPr>
          <w:b w:val="0"/>
        </w:rPr>
        <w:t>B5 — Del Rosario v. ABS-CBN, G.R. No. 202481. Revision 4 doubted the blanket statement at par. 2960 that all workers accredited with the Internal Job Market were declared employees, because the decision sorted eight consolidated petitions into two categories. The eight-part disposition shows the workers prevailed throughout: the workers' petitions (Del Rosario, Cajoles, Perez, Dablo) were GRANTED and ABS-CBN's petitions (Payonan, Ong, Lozares, Zaballa) were DENIED, Lozares modified only by deleting moral and exemplary damages. The fallo ends: "The employees who were illegally dismissed shall be deemed reinstated to the work pool." Par. 2960 is accurate, work-pool language included.</w:t>
      </w:r>
    </w:p>
    <w:p>
      <w:pPr>
        <w:pStyle w:val="ListBullet"/>
      </w:pPr>
      <w:r>
        <w:rPr>
          <w:b w:val="0"/>
        </w:rPr>
        <w:t>B9 — Espina v. Highlands Camp/Rawlings Foundation, G.R. Nos. 220935 &amp; 219868. Revision 4 doubted whether the Court declared the workers regular or regular seasonal, and whether relief ran to both consolidated groups. The fallo: "the PETITIONS are GRANTED ... Respondent Highlands Camp/Rawlings Foundation Inc. is ORDERED to pay petitioners ... Backwages ...; Separation pay ...; Unpaid 13th month pay; and Attorney's fees equivalent to ten percent (10%) of the total monetary award." Both petitions, both groups. The digest is correct.</w:t>
      </w:r>
    </w:p>
    <w:p>
      <w:pPr>
        <w:pStyle w:val="ListBullet"/>
      </w:pPr>
      <w:r>
        <w:rPr>
          <w:b w:val="0"/>
        </w:rPr>
        <w:t>B7 in part — the doubt over the case name in People v. Urquico. Urquico is the first-named accused in the caption. See B13 for what remains.</w:t>
      </w:r>
    </w:p>
    <w:p>
      <w:pPr>
        <w:pStyle w:val="ListBullet"/>
      </w:pPr>
      <w:r>
        <w:rPr>
          <w:b w:val="0"/>
        </w:rPr>
        <w:t>B10 in part — the doubt over double indemnity in Grand Asian Shipping. The fallo awards it. See B10 for what the defect actually is.</w:t>
      </w:r>
    </w:p>
    <w:p>
      <w:r>
        <w:rPr>
          <w:b w:val="0"/>
        </w:rPr>
        <w:t>____________________________________________________________________________________________</w:t>
      </w:r>
    </w:p>
    <w:p>
      <w:r>
        <w:rPr>
          <w:b/>
        </w:rPr>
        <w:t>COVERAGE OF THIS REVISION</w:t>
      </w:r>
    </w:p>
    <w:tbl>
      <w:tblPr>
        <w:tblStyle w:val="TableGrid"/>
        <w:tblW w:type="auto" w:w="0"/>
        <w:tblLook w:firstColumn="1" w:firstRow="1" w:lastColumn="0" w:lastRow="0" w:noHBand="0" w:noVBand="1" w:val="04A0"/>
      </w:tblPr>
      <w:tblGrid>
        <w:gridCol w:w="4320"/>
        <w:gridCol w:w="4320"/>
      </w:tblGrid>
      <w:tr>
        <w:tc>
          <w:tcPr>
            <w:tcW w:type="dxa" w:w="4320"/>
          </w:tcPr>
          <w:p>
            <w:r>
              <w:rPr>
                <w:b/>
              </w:rPr>
              <w:t>Depth of check</w:t>
            </w:r>
          </w:p>
        </w:tc>
        <w:tc>
          <w:tcPr>
            <w:tcW w:type="dxa" w:w="4320"/>
          </w:tcPr>
          <w:p>
            <w:r>
              <w:rPr>
                <w:b/>
              </w:rPr>
              <w:t>Entries</w:t>
            </w:r>
          </w:p>
        </w:tc>
      </w:tr>
      <w:tr>
        <w:tc>
          <w:tcPr>
            <w:tcW w:type="dxa" w:w="4320"/>
          </w:tcPr>
          <w:p>
            <w:r>
              <w:t>Read against the full text of the decision on lawphil — dispositive portion and the passages the digest relies on</w:t>
            </w:r>
          </w:p>
        </w:tc>
        <w:tc>
          <w:tcPr>
            <w:tcW w:type="dxa" w:w="4320"/>
          </w:tcPr>
          <w:p>
            <w:r>
              <w:t>131</w:t>
            </w:r>
          </w:p>
        </w:tc>
      </w:tr>
      <w:tr>
        <w:tc>
          <w:tcPr>
            <w:tcW w:type="dxa" w:w="4320"/>
          </w:tcPr>
          <w:p>
            <w:r>
              <w:t>Full text not retrievable; confirmed in Revision 4 from the Supreme Court's own reporting or an equivalent account</w:t>
            </w:r>
          </w:p>
        </w:tc>
        <w:tc>
          <w:tcPr>
            <w:tcW w:type="dxa" w:w="4320"/>
          </w:tcPr>
          <w:p>
            <w:r>
              <w:t>3</w:t>
            </w:r>
          </w:p>
        </w:tc>
      </w:tr>
      <w:tr>
        <w:tc>
          <w:tcPr>
            <w:tcW w:type="dxa" w:w="4320"/>
          </w:tcPr>
          <w:p>
            <w:r>
              <w:t>Full text not retrievable and not independently confirmed</w:t>
            </w:r>
          </w:p>
        </w:tc>
        <w:tc>
          <w:tcPr>
            <w:tcW w:type="dxa" w:w="4320"/>
          </w:tcPr>
          <w:p>
            <w:r>
              <w:t>1</w:t>
            </w:r>
          </w:p>
        </w:tc>
      </w:tr>
      <w:tr>
        <w:tc>
          <w:tcPr>
            <w:tcW w:type="dxa" w:w="4320"/>
          </w:tcPr>
          <w:p>
            <w:r>
              <w:t>Total substantive entries audited</w:t>
            </w:r>
          </w:p>
        </w:tc>
        <w:tc>
          <w:tcPr>
            <w:tcW w:type="dxa" w:w="4320"/>
          </w:tcPr>
          <w:p>
            <w:r>
              <w:t>135</w:t>
            </w:r>
          </w:p>
        </w:tc>
      </w:tr>
      <w:tr>
        <w:tc>
          <w:tcPr>
            <w:tcW w:type="dxa" w:w="4320"/>
          </w:tcPr>
          <w:p>
            <w:r>
              <w:t>Excluded as bare citations only, as directed (listed in Revision 4, LIST C)</w:t>
            </w:r>
          </w:p>
        </w:tc>
        <w:tc>
          <w:tcPr>
            <w:tcW w:type="dxa" w:w="4320"/>
          </w:tcPr>
          <w:p>
            <w:r>
              <w:t>24</w:t>
            </w:r>
          </w:p>
        </w:tc>
      </w:tr>
      <w:tr>
        <w:tc>
          <w:tcPr>
            <w:tcW w:type="dxa" w:w="4320"/>
          </w:tcPr>
          <w:p>
            <w:r>
              <w:t>Excluded as a duplicate audited under another number</w:t>
            </w:r>
          </w:p>
        </w:tc>
        <w:tc>
          <w:tcPr>
            <w:tcW w:type="dxa" w:w="4320"/>
          </w:tcPr>
          <w:p>
            <w:r>
              <w:t>1</w:t>
            </w:r>
          </w:p>
        </w:tc>
      </w:tr>
    </w:tbl>
    <w:p>
      <w:r>
        <w:rPr>
          <w:b w:val="0"/>
        </w:rPr>
      </w:r>
    </w:p>
    <w:p>
      <w:r>
        <w:rPr>
          <w:b w:val="0"/>
        </w:rPr>
        <w:t>The four whose texts could not be retrieved from lawphil, with their standing:</w:t>
      </w:r>
    </w:p>
    <w:p>
      <w:pPr>
        <w:pStyle w:val="ListBullet"/>
      </w:pPr>
      <w:r>
        <w:rPr>
          <w:b w:val="0"/>
        </w:rPr>
        <w:t>Parce v. Magsaysay Maritime Corp., G.R. No. 241309, October 13, 2025 (par. 467) — confirmed in Revision 4; citation, date and the proposition on officers' solidary liability all borne out.</w:t>
      </w:r>
    </w:p>
    <w:p>
      <w:pPr>
        <w:pStyle w:val="ListBullet"/>
      </w:pPr>
      <w:r>
        <w:rPr>
          <w:b w:val="0"/>
        </w:rPr>
        <w:t>Simon v. The Results Companies, G.R. Nos. 249351-52, March 29, 2022 (pars. 1068–1077) — confirmed in Revision 4; regular employee, backwages, separation pay and attorney's fees, damages denied.</w:t>
      </w:r>
    </w:p>
    <w:p>
      <w:pPr>
        <w:pStyle w:val="ListBullet"/>
      </w:pPr>
      <w:r>
        <w:rPr>
          <w:b w:val="0"/>
        </w:rPr>
        <w:t>Paulino v. Sutherland Global Services, Inc.-Clark, G.R. No. 262564, August 6, 2025 (pars. 1281–1290) — confirmed in Revision 4 from the Supreme Court's own report of the decision; constructive dismissal, backwages, separation pay, P250,000 damages, attorney's fees and interest.</w:t>
      </w:r>
    </w:p>
    <w:p>
      <w:pPr>
        <w:pStyle w:val="ListBullet"/>
      </w:pPr>
      <w:r>
        <w:rPr>
          <w:b w:val="0"/>
        </w:rPr>
        <w:t>National Labor Union v. Dinglasan, G.R. No. L-7945, March 23, 1956 (pars. 2889–2898) — not retrieved and not independently confirmed. The proposition (jeepney drivers under the boundary system are employees, the boundary being a mode of computing compensation) is long settled and is restated in Villamaria and Upod, both of which were verified here. This is the one entry in the set still resting on a textbook reading.</w:t>
      </w:r>
    </w:p>
    <w:p>
      <w:r>
        <w:rPr>
          <w:b w:val="0"/>
        </w:rPr>
        <w:t>Everything else in the audited set was read against the decision. Where no finding is recorded above, the digest matched the disposition and the reasoning it relies on. That is a materially stronger statement than Revision 3 or Revision 4 was able to make about any part of this list.</w:t>
      </w:r>
    </w:p>
    <w:p>
      <w:r>
        <w:rPr>
          <w:b w:val="0"/>
        </w:rPr>
        <w:t>____________________________________________________________________________________________</w:t>
      </w:r>
    </w:p>
    <w:p>
      <w:r>
        <w:rPr>
          <w:b w:val="0"/>
        </w:rPr>
        <w:t>End of revision 5 — 7 confirmed errors, 6 doubtful entries, 4 attribution problems (1 still open), 2 incomplete citations, and 3 Revision 4 findings withdrawn.  131 of 135 entries read against the full text; 3 confirmed by other means; 1 unverified.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