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LABOR LAW REVIEW 1 — REVIEWER WITH CASE DIGESTS (v19)</w:t>
      </w:r>
    </w:p>
    <w:p>
      <w:r>
        <w:rPr>
          <w:b/>
        </w:rPr>
        <w:t>AUDIT OF CASE DIGESTS: DOUBTFUL ENTRIES FLAGGED FOR MANUAL CORRECTION</w:t>
      </w:r>
    </w:p>
    <w:p>
      <w:r>
        <w:rPr>
          <w:b w:val="0"/>
        </w:rPr>
        <w:t>Revision 4 — the previously unverified entries, worked through  ·  4 October 2026  ·  Source: Labor_Law_Review_1_Reviewer_with_Case_Digests_v19.docx</w:t>
      </w:r>
    </w:p>
    <w:p>
      <w:r>
        <w:rPr>
          <w:b w:val="0"/>
        </w:rPr>
        <w:t>____________________________________________________________________________________________</w:t>
      </w:r>
    </w:p>
    <w:p>
      <w:r>
        <w:rPr>
          <w:b/>
        </w:rPr>
        <w:t>WHAT THIS REVISION COVERS</w:t>
      </w:r>
    </w:p>
    <w:p>
      <w:r>
        <w:rPr>
          <w:b w:val="0"/>
        </w:rPr>
        <w:t>Revision 3 opened 63 of the reviewer's 223 G.R. numbers and left 160 unverified — its LIST 2, which it described as "the list to work through next." This revision works through that list.</w:t>
      </w:r>
    </w:p>
    <w:p>
      <w:r>
        <w:rPr>
          <w:b w:val="0"/>
        </w:rPr>
        <w:t>Two exclusions were applied, as directed:</w:t>
      </w:r>
    </w:p>
    <w:p>
      <w:pPr>
        <w:pStyle w:val="ListBullet"/>
      </w:pPr>
      <w:r>
        <w:rPr>
          <w:b w:val="0"/>
        </w:rPr>
        <w:t>The entries already analysed in Revision 3 are not re-analysed. Its LIST 1 (63 numbers) is left alone, and so are the entries already carried in Priorities A1–A5, B1–B3, C1 and D1–D5. Two numbers that Revision 3 printed in both lists — G.R. Nos. 254586 (Arguilles) and 275424 (Arriesgado) — belong to LIST 1 and were dropped from the work set here; G.R. Nos. 182978-79 is the same case as G.R. No. 152642 (Sto. Tomas v. Salac), so it is audited once, under the latter.</w:t>
      </w:r>
    </w:p>
    <w:p>
      <w:pPr>
        <w:pStyle w:val="ListBullet"/>
      </w:pPr>
      <w:r>
        <w:rPr>
          <w:b w:val="0"/>
        </w:rPr>
        <w:t>Bare citations only are excluded. A bare citation is a case name and number that carries no proposition: an entry in a running "Jurisprudence:" list, a cross-reference, a "(see ...)" aside, or a name inside a "(Same ruling)" string. 24 of the 160 are bare in that sense and are listed in LIST C at the end, so the exclusion can be checked rather than taken on trust. Nothing was excluded merely because it was short: a one-line doctrinal statement with its citation attached is a proposition and was audited.</w:t>
      </w:r>
    </w:p>
    <w:p>
      <w:r>
        <w:rPr>
          <w:b w:val="0"/>
        </w:rPr>
        <w:t>That leaves 135 substantive entries. Each one is something the reviewer asserts on the authority of the cited case, in one of the three formats Revision 3 identified:</w:t>
      </w:r>
    </w:p>
    <w:p>
      <w:pPr>
        <w:pStyle w:val="ListBullet"/>
      </w:pPr>
      <w:r>
        <w:rPr>
          <w:b w:val="0"/>
        </w:rPr>
        <w:t>105 six-part digests — Facts / ISSUE / RULING-ANSWER / [LEGAL BASIS] / [APPLICATION] / [CONCLUSION], or a heading followed by bullets and then ISSUE and RULING.</w:t>
      </w:r>
    </w:p>
    <w:p>
      <w:pPr>
        <w:pStyle w:val="ListBullet"/>
      </w:pPr>
      <w:r>
        <w:rPr>
          <w:b w:val="0"/>
        </w:rPr>
        <w:t>17 Part XVI Bar answers whose supporting case is named on the line after the answer. These were audited because the answer rests on the case — the defect found at A5 (Oceanmarine) was of exactly this kind.</w:t>
      </w:r>
    </w:p>
    <w:p>
      <w:pPr>
        <w:pStyle w:val="ListBullet"/>
      </w:pPr>
      <w:r>
        <w:rPr>
          <w:b w:val="0"/>
        </w:rPr>
        <w:t>13 doctrinal propositions with the citation attached in-line or on the following line.</w:t>
      </w:r>
    </w:p>
    <w:p>
      <w:r>
        <w:rPr>
          <w:b w:val="0"/>
        </w:rPr>
        <w:t>All 135 were examined. The findings below continue Revision 3's numbering, so A6 follows A5, B4 follows B3, and so on. Nothing in Revision 3 is withdrawn.</w:t>
      </w:r>
    </w:p>
    <w:p>
      <w:r>
        <w:rPr>
          <w:b w:val="0"/>
        </w:rPr>
        <w:t>____________________________________________________________________________________________</w:t>
      </w:r>
    </w:p>
    <w:p>
      <w:r>
        <w:rPr>
          <w:b/>
        </w:rPr>
        <w:t>HOW DEEPLY EACH ENTRY COULD BE CHECKED — READ THIS BEFORE THE FINDINGS</w:t>
      </w:r>
    </w:p>
    <w:p>
      <w:r>
        <w:rPr>
          <w:b w:val="0"/>
        </w:rPr>
        <w:t>Revision 3's findings came from opening the decisions. That was not possible in this pass. The environment's network policy refused every full-text source: lawphil.net, elibrary.judiciary.gov.ph, sc.judiciary.gov.ph, chanrobles.com and jur.ph were all denied at the proxy, as was every attempt to fetch a page from them. No decision was opened in this pass.</w:t>
      </w:r>
    </w:p>
    <w:p>
      <w:r>
        <w:rPr>
          <w:b w:val="0"/>
        </w:rPr>
        <w:t>What was done instead, for each of the 135 entries: the digest was read against the reported content of the decision as carried by sources that could be reached through search — the Supreme Court's own press releases on sc.judiciary.gov.ph, law-firm and reporter case notes, and published digests — and then read against the reviewer itself for internal contradiction. Every finding below therefore carries its basis:</w:t>
      </w:r>
    </w:p>
    <w:p>
      <w:pPr>
        <w:pStyle w:val="ListBullet"/>
      </w:pPr>
      <w:r>
        <w:rPr>
          <w:b w:val="0"/>
        </w:rPr>
        <w:t>[CONFIRMED] — the defect is established by what a reachable source reports of the decision itself (its parties, dates, holding or relief). These are as solid as Revision 3's findings on the points they cover, but none rests on the full text.</w:t>
      </w:r>
    </w:p>
    <w:p>
      <w:pPr>
        <w:pStyle w:val="ListBullet"/>
      </w:pPr>
      <w:r>
        <w:rPr>
          <w:b w:val="0"/>
        </w:rPr>
        <w:t>[INTERNAL] — the defect is established from the reviewer's own four corners and needs no external source. These are certain.</w:t>
      </w:r>
    </w:p>
    <w:p>
      <w:pPr>
        <w:pStyle w:val="ListBullet"/>
      </w:pPr>
      <w:r>
        <w:rPr>
          <w:b w:val="0"/>
        </w:rPr>
        <w:t>[TO VERIFY] — a specific and material doubt, with the place to look. Not established. Listed because an unexamined doubt of this kind is what produced A1, A3 and A4 in the earlier passes.</w:t>
      </w:r>
    </w:p>
    <w:p>
      <w:r>
        <w:rPr>
          <w:b w:val="0"/>
        </w:rPr>
        <w:t>To finish this pass at Revision 3's depth, add lawphil.net and elibrary.judiciary.gov.ph to the environment's allowed domains (the cloud environment menu in the session title bar → Edit → Network access → Custom, keeping the default package-manager list), and the 135 entries can be re-run against full texts. The three [TO VERIFY] findings and the 116 entries in LIST B are what that run would settle.</w:t>
      </w:r>
    </w:p>
    <w:p>
      <w:r>
        <w:rPr>
          <w:b w:val="0"/>
        </w:rPr>
        <w:t>____________________________________________________________________________________________</w:t>
      </w:r>
    </w:p>
    <w:p>
      <w:r>
        <w:rPr>
          <w:b/>
        </w:rPr>
        <w:t>SUMMARY OF FINDINGS</w:t>
      </w:r>
    </w:p>
    <w:p>
      <w:r>
        <w:rPr>
          <w:b w:val="0"/>
        </w:rPr>
        <w:t>As in Revision 3, this report identifies the defect and where it sits. It does not supply the corrected digest.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Nature of defect</w:t>
            </w:r>
          </w:p>
        </w:tc>
        <w:tc>
          <w:tcPr>
            <w:tcW w:type="dxa" w:w="2160"/>
          </w:tcPr>
          <w:p>
            <w:r>
              <w:rPr>
                <w:b/>
              </w:rPr>
              <w:t>New in this revision</w:t>
            </w:r>
          </w:p>
        </w:tc>
        <w:tc>
          <w:tcPr>
            <w:tcW w:type="dxa" w:w="2160"/>
          </w:tcPr>
          <w:p>
            <w:r>
              <w:rPr>
                <w:b/>
              </w:rPr>
              <w:t>Basis</w:t>
            </w:r>
          </w:p>
        </w:tc>
      </w:tr>
      <w:tr>
        <w:tc>
          <w:tcPr>
            <w:tcW w:type="dxa" w:w="2160"/>
          </w:tcPr>
          <w:p>
            <w:r>
              <w:t>A</w:t>
            </w:r>
          </w:p>
        </w:tc>
        <w:tc>
          <w:tcPr>
            <w:tcW w:type="dxa" w:w="2160"/>
          </w:tcPr>
          <w:p>
            <w:r>
              <w:t>Confirmed error — the stated holding, application or supporting authority contradicts the decision</w:t>
            </w:r>
          </w:p>
        </w:tc>
        <w:tc>
          <w:tcPr>
            <w:tcW w:type="dxa" w:w="2160"/>
          </w:tcPr>
          <w:p>
            <w:r>
              <w:t>2  (A6–A7)</w:t>
            </w:r>
          </w:p>
        </w:tc>
        <w:tc>
          <w:tcPr>
            <w:tcW w:type="dxa" w:w="2160"/>
          </w:tcPr>
          <w:p>
            <w:r>
              <w:t>both CONFIRMED</w:t>
            </w:r>
          </w:p>
        </w:tc>
      </w:tr>
      <w:tr>
        <w:tc>
          <w:tcPr>
            <w:tcW w:type="dxa" w:w="2160"/>
          </w:tcPr>
          <w:p>
            <w:r>
              <w:t>B</w:t>
            </w:r>
          </w:p>
        </w:tc>
        <w:tc>
          <w:tcPr>
            <w:tcW w:type="dxa" w:w="2160"/>
          </w:tcPr>
          <w:p>
            <w:r>
              <w:t>Doubtful — holding flattened, facts misstated, relief mischaracterised, or the reviewer contradicting itself</w:t>
            </w:r>
          </w:p>
        </w:tc>
        <w:tc>
          <w:tcPr>
            <w:tcW w:type="dxa" w:w="2160"/>
          </w:tcPr>
          <w:p>
            <w:r>
              <w:t>7  (B4–B10)</w:t>
            </w:r>
          </w:p>
        </w:tc>
        <w:tc>
          <w:tcPr>
            <w:tcW w:type="dxa" w:w="2160"/>
          </w:tcPr>
          <w:p>
            <w:r>
              <w:t>2 CONFIRMED · 1 INTERNAL · 4 TO VERIFY</w:t>
            </w:r>
          </w:p>
        </w:tc>
      </w:tr>
      <w:tr>
        <w:tc>
          <w:tcPr>
            <w:tcW w:type="dxa" w:w="2160"/>
          </w:tcPr>
          <w:p>
            <w:r>
              <w:t>C</w:t>
            </w:r>
          </w:p>
        </w:tc>
        <w:tc>
          <w:tcPr>
            <w:tcW w:type="dxa" w:w="2160"/>
          </w:tcPr>
          <w:p>
            <w:r>
              <w:t>Attribution unclear — a proposition stated under a case that does not supply it, or an authority left standing alone</w:t>
            </w:r>
          </w:p>
        </w:tc>
        <w:tc>
          <w:tcPr>
            <w:tcW w:type="dxa" w:w="2160"/>
          </w:tcPr>
          <w:p>
            <w:r>
              <w:t>4  (C2–C5)</w:t>
            </w:r>
          </w:p>
        </w:tc>
        <w:tc>
          <w:tcPr>
            <w:tcW w:type="dxa" w:w="2160"/>
          </w:tcPr>
          <w:p>
            <w:r>
              <w:t>1 CONFIRMED · 2 INTERNAL · 1 TO VERIFY</w:t>
            </w:r>
          </w:p>
        </w:tc>
      </w:tr>
      <w:tr>
        <w:tc>
          <w:tcPr>
            <w:tcW w:type="dxa" w:w="2160"/>
          </w:tcPr>
          <w:p>
            <w:r>
              <w:t>D</w:t>
            </w:r>
          </w:p>
        </w:tc>
        <w:tc>
          <w:tcPr>
            <w:tcW w:type="dxa" w:w="2160"/>
          </w:tcPr>
          <w:p>
            <w:r>
              <w:t>Citation incomplete — cannot be looked up as it stands</w:t>
            </w:r>
          </w:p>
        </w:tc>
        <w:tc>
          <w:tcPr>
            <w:tcW w:type="dxa" w:w="2160"/>
          </w:tcPr>
          <w:p>
            <w:r>
              <w:t>2  (D6–D7)</w:t>
            </w:r>
          </w:p>
        </w:tc>
        <w:tc>
          <w:tcPr>
            <w:tcW w:type="dxa" w:w="2160"/>
          </w:tcPr>
          <w:p>
            <w:r>
              <w:t>both INTERNAL</w:t>
            </w:r>
          </w:p>
        </w:tc>
      </w:tr>
    </w:tbl>
    <w:p>
      <w:r>
        <w:rPr>
          <w:b w:val="0"/>
        </w:rPr>
      </w:r>
    </w:p>
    <w:p>
      <w:r>
        <w:rPr>
          <w:b w:val="0"/>
        </w:rPr>
        <w:t>Checked out: 17 of the 135 were confirmed against the reported decision. Twelve of those match the reviewer and need nothing; the other five are the findings at A6, A7, B4, B7 and C3. One of the twelve, Paulino v. Sutherland Global Services, is the entry Revision 3 had to list as unretrievable; it is retrievable now and the digest is sound. The remaining 118 were examined, and four of them yielded a defect visible in the reviewer's own text and five a specific doubt — but none of the 118 was confirmed against the decision. They are not cleared. See LIST B.</w:t>
      </w:r>
    </w:p>
    <w:p>
      <w:r>
        <w:rPr>
          <w:b w:val="0"/>
        </w:rPr>
        <w:t>____________________________________________________________________________________________</w:t>
      </w:r>
    </w:p>
    <w:p>
      <w:r>
        <w:rPr>
          <w:b/>
        </w:rPr>
        <w:t>PRIORITY A — CONFIRMED ERRORS</w:t>
      </w:r>
    </w:p>
    <w:p>
      <w:r>
        <w:rPr>
          <w:b w:val="0"/>
        </w:rPr>
        <w:t>Continuing A1–A5. In both of these the G.R. number and date are correct; the error is in the substance.</w:t>
      </w:r>
    </w:p>
    <w:p>
      <w:r>
        <w:rPr>
          <w:b/>
        </w:rPr>
        <w:t>A6.  Bernardo v. NLRC, G.R. No. 122917, July 12, 1999  —  [CONFIRMED]</w:t>
      </w:r>
    </w:p>
    <w:p>
      <w:r>
        <w:rPr>
          <w:b w:val="0"/>
        </w:rPr>
        <w:t>Location: paragraphs 1191–1200  ·  Section: Part V — Kinds of Employees / Handicapped Workers</w:t>
      </w:r>
    </w:p>
    <w:p>
      <w:pPr>
        <w:pStyle w:val="ListBullet"/>
      </w:pPr>
      <w:r>
        <w:rPr>
          <w:b w:val="0"/>
        </w:rPr>
        <w:t>The digest answers the ISSUE with a flat "Yes, the deaf-mute sorters are regular employees," and the [CONCLUSION] follows: "they are regular employees entitled to security of tenure." The Court did not rule that way for the complainants as a body. It separated them: only those whose six-month contracts were renewed so that their service ran past six months were held to have become regular, and the dismissal was declared illegal as to them alone. The rest did not obtain that status. The reviewer's blanket answer is wrong for part of the class and gives the wrong rule to an examinee, because the operative fact in the case is the renewal beyond six months, not the handicap and not the nature of the work.</w:t>
      </w:r>
    </w:p>
    <w:p>
      <w:pPr>
        <w:pStyle w:val="ListBullet"/>
      </w:pPr>
      <w:r>
        <w:rPr>
          <w:b w:val="0"/>
        </w:rPr>
        <w:t>The [APPLICATION] compounds it: "UST repeatedly hired them ... and renewed their six-month contracts for years" is stated of all of them. Check the decision's own count of how many of the 43 complainants were covered, and from what date each one's service is reckoned.</w:t>
      </w:r>
    </w:p>
    <w:p>
      <w:pPr>
        <w:pStyle w:val="ListBullet"/>
      </w:pPr>
      <w:r>
        <w:rPr>
          <w:b w:val="0"/>
        </w:rPr>
        <w:t>The [LEGAL BASIS] is sound as far as it goes — Art. 295 and Sec. 5 of R.A. 7277 — but it omits the provision the split actually turns on, which is the six-month rule the renewals crossed. As written, the basis cannot generate the Court's distinction.</w:t>
      </w:r>
    </w:p>
    <w:p>
      <w:pPr>
        <w:pStyle w:val="ListBullet"/>
      </w:pPr>
      <w:r>
        <w:rPr>
          <w:b w:val="0"/>
        </w:rPr>
        <w:t>This is the same defect as A2 (Alaska Milk): one blanket answer standing in for a split holding. The ISSUE needs re-framing so that the six-month renewal is the question, rather than regular status at large.</w:t>
      </w:r>
    </w:p>
    <w:p>
      <w:r>
        <w:rPr>
          <w:b w:val="0"/>
        </w:rPr>
        <w:t>Which elements are defective: RULING/ANSWER, [APPLICATION] and [CONCLUSION], and the ISSUE needs re-framing. The Facts paragraph is accurate.</w:t>
      </w:r>
    </w:p>
    <w:p>
      <w:r>
        <w:rPr>
          <w:b w:val="0"/>
        </w:rPr>
        <w:t>Verify at: lawphil.net/judjuris/juri1999/jul1999/gr_122917_1999.html</w:t>
      </w:r>
    </w:p>
    <w:p>
      <w:r>
        <w:rPr>
          <w:b/>
        </w:rPr>
        <w:t>A7.  Buenaflor v. Stolt-Nielsen Philippines, G.R. No. 221664, June 27, 2022  —  [CONFIRMED]</w:t>
      </w:r>
    </w:p>
    <w:p>
      <w:r>
        <w:rPr>
          <w:b w:val="0"/>
        </w:rPr>
        <w:t>Location: paragraphs 639–648  ·  Section: Termination of Employment of Migrant Workers / seafarers</w:t>
      </w:r>
    </w:p>
    <w:p>
      <w:pPr>
        <w:pStyle w:val="ListBullet"/>
      </w:pPr>
      <w:r>
        <w:rPr>
          <w:b w:val="0"/>
        </w:rPr>
        <w:t>The result is right: the dismissal was illegal, and the Court held that the Court of Appeals erred in disturbing the NLRC's finding to that effect. The defect is in the facts, and it is load-bearing.</w:t>
      </w:r>
    </w:p>
    <w:p>
      <w:pPr>
        <w:pStyle w:val="ListBullet"/>
      </w:pPr>
      <w:r>
        <w:rPr>
          <w:b w:val="0"/>
        </w:rPr>
        <w:t>The digest's Facts say Buenaflor was "dismissed two days after boarding," and the [APPLICATION] repeats it as a reason: "He was dismissed only two days after boarding w/o the required disciplinary procedure." What happened two days after he signed on was the MARPOL inspection at the Port of Rotterdam. The dismissal came weeks later — he was told of it in late August 2010, about a month into the engagement. The two-day interval the digest leans on belongs to a different event.</w:t>
      </w:r>
    </w:p>
    <w:p>
      <w:pPr>
        <w:pStyle w:val="ListBullet"/>
      </w:pPr>
      <w:r>
        <w:rPr>
          <w:b w:val="0"/>
        </w:rPr>
        <w:t>Because the digest uses the compressed interval as part of the proof that no disciplinary procedure was observed, the [APPLICATION] has to be rewritten on the real sequence: sign-on, inspection two days later, the captain's questioning, then the verbal notice of dismissal and the departure date. The absence of a written charge and an opportunity to explain is what carries the holding, not the elapsed time.</w:t>
      </w:r>
    </w:p>
    <w:p>
      <w:pPr>
        <w:pStyle w:val="ListBullet"/>
      </w:pPr>
      <w:r>
        <w:rPr>
          <w:b w:val="0"/>
        </w:rPr>
        <w:t>Check also the respondents' side of the record, which put forward several reported incidents rather than the single logbook entry the digest describes. The "one incident, even if proved, does not establish incompetence" reasoning may be resting on a thinner version of the facts than the Court was working with.</w:t>
      </w:r>
    </w:p>
    <w:p>
      <w:r>
        <w:rPr>
          <w:b w:val="0"/>
        </w:rPr>
        <w:t>Which elements are defective: the Facts paragraph and the [APPLICATION]. ISSUE, RULING/ANSWER, [LEGAL BASIS] and [CONCLUSION] can stand.</w:t>
      </w:r>
    </w:p>
    <w:p>
      <w:r>
        <w:rPr>
          <w:b w:val="0"/>
        </w:rPr>
        <w:t>Verify at: lawphil.net/judjuris/juri2022/jun2022/gr_221664_2022.html</w:t>
      </w:r>
    </w:p>
    <w:p>
      <w:r>
        <w:rPr>
          <w:b w:val="0"/>
        </w:rPr>
        <w:t>____________________________________________________________________________________________</w:t>
      </w:r>
    </w:p>
    <w:p>
      <w:r>
        <w:rPr>
          <w:b/>
        </w:rPr>
        <w:t>PRIORITY B — DOUBTFUL ENTRIES</w:t>
      </w:r>
    </w:p>
    <w:p>
      <w:r>
        <w:rPr>
          <w:b w:val="0"/>
        </w:rPr>
        <w:t>Continuing B1–B3. Not reversed holdings. Each drops or misstates something material enough to mislead on an exam answer.</w:t>
      </w:r>
    </w:p>
    <w:p>
      <w:r>
        <w:rPr>
          <w:b/>
        </w:rPr>
        <w:t>B4.  Paz v. Northern Tobacco Redrying Co., Inc., G.R. No. 199554, February 18, 2015  —  [CONFIRMED]</w:t>
      </w:r>
    </w:p>
    <w:p>
      <w:r>
        <w:rPr>
          <w:b w:val="0"/>
        </w:rPr>
        <w:t>Location: paragraphs 991–1000  ·  Section: Part V — Seasonal Employees</w:t>
      </w:r>
    </w:p>
    <w:p>
      <w:pPr>
        <w:pStyle w:val="ListBullet"/>
      </w:pPr>
      <w:r>
        <w:rPr>
          <w:b w:val="0"/>
        </w:rPr>
        <w:t>The first half of the answer is right and is why the case is worth digesting: Paz was a regular seasonal employee, on the strength of nearly three decades of repeated engagement as a sorter in work indispensable to the employer's tobacco operation.</w:t>
      </w:r>
    </w:p>
    <w:p>
      <w:pPr>
        <w:pStyle w:val="ListBullet"/>
      </w:pPr>
      <w:r>
        <w:rPr>
          <w:b w:val="0"/>
        </w:rPr>
        <w:t>The [CONCLUSION] then says: "her forced retirement was an illegal dismissal, and her retirement pay must be computed under Art. 302." That does not match what the case became. Paz amended her complaint, dropping illegal dismissal and praying instead for retirement benefits, damages and attorney's fees, because the ₱12,000 offered was inadequate for 29 years. The relief the Court worked out is retirement pay, not the relief that follows an illegal dismissal. Read the fallo and state the award the Court actually made, including anything granted by way of financial assistance, and the basis on which the years of service were counted — the computation is the examinable part.</w:t>
      </w:r>
    </w:p>
    <w:p>
      <w:pPr>
        <w:pStyle w:val="ListBullet"/>
      </w:pPr>
      <w:r>
        <w:rPr>
          <w:b w:val="0"/>
        </w:rPr>
        <w:t>The RULING/ANSWER's phrase "her forced 'retirement' was invalid" is defensible; "was an illegal dismissal" in the [CONCLUSION] is not the same proposition and should not be left to stand as the holding.</w:t>
      </w:r>
    </w:p>
    <w:p>
      <w:pPr>
        <w:pStyle w:val="ListBullet"/>
      </w:pPr>
      <w:r>
        <w:rPr>
          <w:b w:val="0"/>
        </w:rPr>
        <w:t>The [APPLICATION] says "there was no valid retirement plan or agreement allowing it." That is the right line of reasoning — the employer failed to prove an enforceable policy or CBA — but say so in those terms, since the absence of proof, not the absence of a plan, is what the Court found.</w:t>
      </w:r>
    </w:p>
    <w:p>
      <w:r>
        <w:rPr>
          <w:b w:val="0"/>
        </w:rPr>
        <w:t>Which elements are defective: the [CONCLUSION], and the characterisation of the relief. The Facts, ISSUE and the regular-seasonal holding are sound.</w:t>
      </w:r>
    </w:p>
    <w:p>
      <w:r>
        <w:rPr>
          <w:b w:val="0"/>
        </w:rPr>
        <w:t>Verify at: lawphil.net/judjuris/juri2015/feb2015/gr_199554_2015.html</w:t>
      </w:r>
    </w:p>
    <w:p>
      <w:r>
        <w:rPr>
          <w:b/>
        </w:rPr>
        <w:t>B5.  Del Rosario v. ABS-CBN Broadcasting Corp., G.R. No. 202481, September 8, 2020 (En Banc)  —  [TO VERIFY]</w:t>
      </w:r>
    </w:p>
    <w:p>
      <w:r>
        <w:rPr>
          <w:b w:val="0"/>
        </w:rPr>
        <w:t>Location: paragraph 2960 (and the principles at 2962–2966)  ·  Section: Tests for the Employer-Employee Relationship / Broadcast Networks</w:t>
      </w:r>
    </w:p>
    <w:p>
      <w:pPr>
        <w:pStyle w:val="ListBullet"/>
      </w:pPr>
      <w:r>
        <w:rPr>
          <w:b w:val="0"/>
        </w:rPr>
        <w:t>The reviewer states: "The same is true in ABS-CBN: all workers accredited with the Internal Job Market were declared by the Supreme Court as its employees." The word to question is "all." The decision resolved eight consolidated petitions, and it sorted them into two groups — the regularization cases and the illegal dismissal cases — which is not a distinction a court draws in order to dispose of everything the same way. The workers in the regularization group were held to be regular employees notwithstanding their Talent Contracts and Project Assignment Forms, and were given the CBA benefits. What happened to the illegal dismissal group is the part to check before letting "all" stand.</w:t>
      </w:r>
    </w:p>
    <w:p>
      <w:pPr>
        <w:pStyle w:val="ListBullet"/>
      </w:pPr>
      <w:r>
        <w:rPr>
          <w:b w:val="0"/>
        </w:rPr>
        <w:t>The same sentence is also doing double duty, carrying a general proposition about work pools (floating status for up to six months, separation pay thereafter) into a statement about what this case held. Those are separate authorities; keep them apart or the reader will cite Del Rosario for the six-month rule.</w:t>
      </w:r>
    </w:p>
    <w:p>
      <w:pPr>
        <w:pStyle w:val="ListBullet"/>
      </w:pPr>
      <w:r>
        <w:rPr>
          <w:b w:val="0"/>
        </w:rPr>
        <w:t>The five principles listed at pars. 2962–2966 read as faithful to the decision, including the blocktimer point. They are not what this flag is about.</w:t>
      </w:r>
    </w:p>
    <w:p>
      <w:r>
        <w:rPr>
          <w:b w:val="0"/>
        </w:rPr>
        <w:t>Which element is defective: the second sentence of par. 2960. The rest of the passage is usable.</w:t>
      </w:r>
    </w:p>
    <w:p>
      <w:r>
        <w:rPr>
          <w:b w:val="0"/>
        </w:rPr>
        <w:t>Verify at: lawphil.net/judjuris/juri2020/sep2020/gr_202481_2020.html</w:t>
      </w:r>
    </w:p>
    <w:p>
      <w:r>
        <w:rPr>
          <w:b/>
        </w:rPr>
        <w:t>B6.  Philippine Telegraph and Telephone Co. v. NLRC, G.R. No. 118978, May 23, 1997  —  [TO VERIFY]</w:t>
      </w:r>
    </w:p>
    <w:p>
      <w:r>
        <w:rPr>
          <w:b w:val="0"/>
        </w:rPr>
        <w:t>Location: paragraphs 1291–1300  ·  Section: Women Workers / stipulation against marriage</w:t>
      </w:r>
    </w:p>
    <w:p>
      <w:pPr>
        <w:pStyle w:val="ListBullet"/>
      </w:pPr>
      <w:r>
        <w:rPr>
          <w:b w:val="0"/>
        </w:rPr>
        <w:t>The holding the digest gives is correct and is the reason the case is a staple: a policy against employing married women offends Art. 134 (formerly Art. 136), and a dismissal grounded on it is illegal.</w:t>
      </w:r>
    </w:p>
    <w:p>
      <w:pPr>
        <w:pStyle w:val="ListBullet"/>
      </w:pPr>
      <w:r>
        <w:rPr>
          <w:b w:val="0"/>
        </w:rPr>
        <w:t>The [CONCLUSION] stops at "Therefore, her dismissal was illegal." The record has a second strand the digest drops entirely: de Guzman had declared herself single in her job application although she had married some months earlier, and the employer charged her with dishonesty on that account as well as with defalcation. A decision that voids the marriage-based ground still has to dispose of the dishonesty, and this one did not simply ignore it. Read the fallo for what the Court did with that charge — in particular whether her relief was qualified by a penalty for the misrepresentation — and say so, because an examinee who writes that she won outright may be overstating the case.</w:t>
      </w:r>
    </w:p>
    <w:p>
      <w:pPr>
        <w:pStyle w:val="ListBullet"/>
      </w:pPr>
      <w:r>
        <w:rPr>
          <w:b w:val="0"/>
        </w:rPr>
        <w:t>The Facts paragraph should also carry the concealment as a fact of record rather than only as the employer's characterisation, since the Court's treatment of it is what makes the case more than a one-line rule.</w:t>
      </w:r>
    </w:p>
    <w:p>
      <w:r>
        <w:rPr>
          <w:b w:val="0"/>
        </w:rPr>
        <w:t>Which element is defective: the [CONCLUSION], and the Facts to the extent they omit the second ground. ISSUE, RULING/ANSWER and [LEGAL BASIS] are accurate.</w:t>
      </w:r>
    </w:p>
    <w:p>
      <w:r>
        <w:rPr>
          <w:b w:val="0"/>
        </w:rPr>
        <w:t>Verify at: lawphil.net/judjuris/juri1997/may1997/gr_118978_1997.html</w:t>
      </w:r>
    </w:p>
    <w:p>
      <w:r>
        <w:rPr>
          <w:b/>
        </w:rPr>
        <w:t>B7.  People v. Urquico, G.R. No. 238910, July 20, 2022  —  [CONFIRMED, as to the caption]</w:t>
      </w:r>
    </w:p>
    <w:p>
      <w:r>
        <w:rPr>
          <w:b w:val="0"/>
        </w:rPr>
        <w:t>Location: paragraphs 422–424  ·  Section: Part III — Illegal Recruitment</w:t>
      </w:r>
    </w:p>
    <w:p>
      <w:pPr>
        <w:pStyle w:val="ListBullet"/>
      </w:pPr>
      <w:r>
        <w:rPr>
          <w:b w:val="0"/>
        </w:rPr>
        <w:t>The case name is doubtful. Under this G.R. number the accused-appellant whose conviction was passed upon is named Mandelma, who used an alias; Urquico appears as a co-accused, not as the party in the title. A digest captioned "People v. Urquico" therefore points at the wrong party, and anyone searching the reporters under that name may not find it. Confirm the correct title for G.R. No. 238910 before citing it.</w:t>
      </w:r>
    </w:p>
    <w:p>
      <w:pPr>
        <w:pStyle w:val="ListBullet"/>
      </w:pPr>
      <w:r>
        <w:rPr>
          <w:b w:val="0"/>
        </w:rPr>
        <w:t>The substance of the answer — that illegal recruitment in large scale and estafa may both be prosecuted, and that alibi will not prevail — is orthodox and consistent with the conviction entered in the case. The flag is on the caption, not the doctrine.</w:t>
      </w:r>
    </w:p>
    <w:p>
      <w:pPr>
        <w:pStyle w:val="ListBullet"/>
      </w:pPr>
      <w:r>
        <w:rPr>
          <w:b w:val="0"/>
        </w:rPr>
        <w:t>One wording defect, and it is not cosmetic: the RULING/ANSWER says alibi "will not prevail over dispositive and categorical testimonies." The standard is positive and categorical testimony. "Dispositive" means something else entirely in this context and garbles the evidentiary rule being stated.</w:t>
      </w:r>
    </w:p>
    <w:p>
      <w:r>
        <w:rPr>
          <w:b w:val="0"/>
        </w:rPr>
        <w:t>Which elements are defective: the case title in the heading, and the word "dispositive" at par. 424. The ISSUE and the substance of the answer can stand.</w:t>
      </w:r>
    </w:p>
    <w:p>
      <w:r>
        <w:rPr>
          <w:b w:val="0"/>
        </w:rPr>
        <w:t>Verify at: elibrary.judiciary.gov.ph — G.R. No. 238910 (July 20, 2022), Hernando, J.</w:t>
      </w:r>
    </w:p>
    <w:p>
      <w:r>
        <w:rPr>
          <w:b/>
        </w:rPr>
        <w:t>B8.  The two-tiered test is stated two incompatible ways  —  [INTERNAL]</w:t>
      </w:r>
    </w:p>
    <w:p>
      <w:r>
        <w:rPr>
          <w:b w:val="0"/>
        </w:rPr>
        <w:t>Location: paragraph 1444, against paragraphs 2793–2798 and 2909  ·  Sections: Tests for the Employer-Employee Relationship (Lazada riders) and the economic reality test</w:t>
      </w:r>
    </w:p>
    <w:p>
      <w:pPr>
        <w:pStyle w:val="ListBullet"/>
      </w:pPr>
      <w:r>
        <w:rPr>
          <w:b w:val="0"/>
        </w:rPr>
        <w:t>At par. 1444 the reviewer says the economic reality test "is two-tiered: first, look into the nature of the business of the putative employer; then, look into the involvement of the so-called employee in that business."</w:t>
      </w:r>
    </w:p>
    <w:p>
      <w:pPr>
        <w:pStyle w:val="ListBullet"/>
      </w:pPr>
      <w:r>
        <w:rPr>
          <w:b w:val="0"/>
        </w:rPr>
        <w:t>At pars. 2793–2798 it says the two tiers are Tier 1, the control test — the power to control the means and methods — and Tier 2, the economic reality or dependence test. Par. 2909 repeats that second version: "two-tiered: control and the underlying economic realities."</w:t>
      </w:r>
    </w:p>
    <w:p>
      <w:pPr>
        <w:pStyle w:val="ListBullet"/>
      </w:pPr>
      <w:r>
        <w:rPr>
          <w:b w:val="0"/>
        </w:rPr>
        <w:t>These are not two phrasings of one thing. The first makes both tiers economic; the second makes the first tier control. Only one can be the two-tiered approach as the Court uses it, and the two passages sit about 1,350 paragraphs apart, so a reader will meet them as separate statements of law and cannot reconcile them. The formulation at par. 1444 describes what is weighed inside the economic-reality tier, not the two tiers.</w:t>
      </w:r>
    </w:p>
    <w:p>
      <w:pPr>
        <w:pStyle w:val="ListBullet"/>
      </w:pPr>
      <w:r>
        <w:rPr>
          <w:b w:val="0"/>
        </w:rPr>
        <w:t>Fix one of the two. Whichever is kept, it should be stated the same way in all three places, because the reviewer uses the test to decide the rider, driver and fitness-trainer problems and the answer depends on what the first tier is.</w:t>
      </w:r>
    </w:p>
    <w:p>
      <w:r>
        <w:rPr>
          <w:b w:val="0"/>
        </w:rPr>
        <w:t>Which element is defective: the second half of the RULING/ANSWER at par. 1444. Pars. 2793–2798 and 2909 agree with each other and need no change.</w:t>
      </w:r>
    </w:p>
    <w:p>
      <w:r>
        <w:rPr>
          <w:b/>
        </w:rPr>
        <w:t>B9.  Espina v. Highlands Camp/Rawlings Foundation, Inc., G.R. Nos. 220935 &amp; 219868, July 28, 2020  —  [TO VERIFY]</w:t>
      </w:r>
    </w:p>
    <w:p>
      <w:r>
        <w:rPr>
          <w:b w:val="0"/>
        </w:rPr>
        <w:t>Location: paragraphs 1011–1020  ·  Section: Part V — Seasonal Employees</w:t>
      </w:r>
    </w:p>
    <w:p>
      <w:pPr>
        <w:pStyle w:val="ListBullet"/>
      </w:pPr>
      <w:r>
        <w:rPr>
          <w:b w:val="0"/>
        </w:rPr>
        <w:t>The question litigated all the way up was regular versus seasonal, and the tribunals split on it: the Labor Arbiter held the workers regular because the camp stayed open the year round and they were not separated in the off-peak months; the Court of Appeals held they were seasonal employees whose non-rehiring was not a dismissal. Which of those the Court adopted decides the digest.</w:t>
      </w:r>
    </w:p>
    <w:p>
      <w:pPr>
        <w:pStyle w:val="ListBullet"/>
      </w:pPr>
      <w:r>
        <w:rPr>
          <w:b w:val="0"/>
        </w:rPr>
        <w:t>The [CONCLUSION] says flatly "they are regular employees." The reviewer itself draws the sharper distinction two sections earlier — regular seasonal employees in Acibo (pars. 971–980) and Paz (991–1000) — and that distinction carries different consequences for the duty to rehire. Check which term the Court used here, because "regular" and "regular seasonal" are not interchangeable in this part of the reviewer.</w:t>
      </w:r>
    </w:p>
    <w:p>
      <w:pPr>
        <w:pStyle w:val="ListBullet"/>
      </w:pPr>
      <w:r>
        <w:rPr>
          <w:b w:val="0"/>
        </w:rPr>
        <w:t>These were two consolidated petitions covering two groups of workers. Check that the relief ran to both.</w:t>
      </w:r>
    </w:p>
    <w:p>
      <w:pPr>
        <w:pStyle w:val="ListBullet"/>
      </w:pPr>
      <w:r>
        <w:rPr>
          <w:b w:val="0"/>
        </w:rPr>
        <w:t>The Facts are also thinner than the record: the decision describes a work pattern of full months from January to June, on-call in July to September, daily during the October peak, on-call again in November and December. That pattern is the evidence for year-round operation, and the digest's "rehired every year from 2000 to 2010" does not convey it.</w:t>
      </w:r>
    </w:p>
    <w:p>
      <w:r>
        <w:rPr>
          <w:b w:val="0"/>
        </w:rPr>
        <w:t>Which elements are defective: the Facts and, depending on the term the Court used, the RULING/ANSWER and [CONCLUSION].</w:t>
      </w:r>
    </w:p>
    <w:p>
      <w:r>
        <w:rPr>
          <w:b w:val="0"/>
        </w:rPr>
        <w:t>Verify at: lawphil.net/judjuris/juri2020/jul2020/gr_220935_2020.html</w:t>
      </w:r>
    </w:p>
    <w:p>
      <w:r>
        <w:rPr>
          <w:b/>
        </w:rPr>
        <w:t>B10.  Grand Asian Shipping Lines, Inc. v. Galvez, G.R. No. 178184, January 29, 2014  —  [TO VERIFY]</w:t>
      </w:r>
    </w:p>
    <w:p>
      <w:r>
        <w:rPr>
          <w:b w:val="0"/>
        </w:rPr>
        <w:t>Location: paragraphs 2298–2307  ·  Section: Hours of Work / field personnel</w:t>
      </w:r>
    </w:p>
    <w:p>
      <w:pPr>
        <w:pStyle w:val="ListBullet"/>
      </w:pPr>
      <w:r>
        <w:rPr>
          <w:b w:val="0"/>
        </w:rPr>
        <w:t>The [CONCLUSION] awards the crew "salary differentials w/ double indemnity." Double indemnity under R.A. 6727 as amended by R.A. 8188 is a penalty with its own statutory predicate, and whether it was imposed in this money-claims case — and by which tribunal — is the first thing to check against the fallo. If the award was deleted or was never made, the [LEGAL BASIS] sentence introducing double indemnity has to come out with it, because it is the only thing in the digest supporting that part of the award.</w:t>
      </w:r>
    </w:p>
    <w:p>
      <w:pPr>
        <w:pStyle w:val="ListBullet"/>
      </w:pPr>
      <w:r>
        <w:rPr>
          <w:b w:val="0"/>
        </w:rPr>
        <w:t>The digest also presents the case as a pure labor-standards dispute. Its principal subject is the dismissal of the crew over an alleged pilferage of fuel oil, and the Court's treatment of that is what the case is usually cited for. A digest that omits it will mislead anyone who looks the case up expecting what the reviewer describes.</w:t>
      </w:r>
    </w:p>
    <w:p>
      <w:pPr>
        <w:pStyle w:val="ListBullet"/>
      </w:pPr>
      <w:r>
        <w:rPr>
          <w:b w:val="0"/>
        </w:rPr>
        <w:t>The split between the crew and the captain is the sound part: hours determinable with reasonable certainty for the crew, managerial functions for the captain. Keep it, and state which benefits each group was and was not given.</w:t>
      </w:r>
    </w:p>
    <w:p>
      <w:r>
        <w:rPr>
          <w:b w:val="0"/>
        </w:rPr>
        <w:t>Which elements are defective: the [CONCLUSION] as to double indemnity, the [LEGAL BASIS] sentence that supports it, and the Facts as to the subject of the case.</w:t>
      </w:r>
    </w:p>
    <w:p>
      <w:r>
        <w:rPr>
          <w:b w:val="0"/>
        </w:rPr>
        <w:t>Verify at: lawphil.net/judjuris/juri2014/jan2014/gr_178184_2014.html</w:t>
      </w:r>
    </w:p>
    <w:p>
      <w:r>
        <w:rPr>
          <w:b w:val="0"/>
        </w:rPr>
        <w:t>____________________________________________________________________________________________</w:t>
      </w:r>
    </w:p>
    <w:p>
      <w:r>
        <w:rPr>
          <w:b/>
        </w:rPr>
        <w:t>PRIORITY C — ATTRIBUTION UNCLEAR</w:t>
      </w:r>
    </w:p>
    <w:p>
      <w:r>
        <w:rPr>
          <w:b w:val="0"/>
        </w:rPr>
        <w:t>Continuing C1. In each of these the law stated is sound or very likely sound; the problem is that it sits under a case that does not supply it, or that an authority has been left standing with nothing attached.</w:t>
      </w:r>
    </w:p>
    <w:p>
      <w:r>
        <w:rPr>
          <w:b/>
        </w:rPr>
        <w:t>C2.  Santiago v. CF Sharp Crew Management, Inc., G.R. No. 162419, July 10, 2007  —  [INTERNAL]</w:t>
      </w:r>
    </w:p>
    <w:p>
      <w:r>
        <w:rPr>
          <w:b w:val="0"/>
        </w:rPr>
        <w:t>Location: paragraphs 497–509  ·  Section: Part VI — Liability of Local Recruitment and Manning Agencies</w:t>
      </w:r>
    </w:p>
    <w:p>
      <w:pPr>
        <w:pStyle w:val="ListBullet"/>
      </w:pPr>
      <w:r>
        <w:rPr>
          <w:b w:val="0"/>
        </w:rPr>
        <w:t>Par. 497 is the Santiago citation. Everything under it — the Transfer of Accreditation heading at 499, the ISSUE and RULING at 500–501, and the requisites and ceilings at 502–508 — comes from the POEA/DMW rules on accreditation, not from Santiago. The case is not about transfer of accreditation at all.</w:t>
      </w:r>
    </w:p>
    <w:p>
      <w:pPr>
        <w:pStyle w:val="ListBullet"/>
      </w:pPr>
      <w:r>
        <w:rPr>
          <w:b w:val="0"/>
        </w:rPr>
        <w:t>The result is that Santiago's actual holding is never stated anywhere under its own citation. That holding is squarely on a point the reviewer teaches elsewhere and cares about: a POEA-approved contract is perfected on signing even though the employment relationship has not commenced, so the agency answers for a failure to deploy. The reviewer makes that point at pars. 1446–1448 and in the Medequillo and Gemudiano digests, and leaves the one case that is usually cited first for it carrying material from the implementing rules.</w:t>
      </w:r>
    </w:p>
    <w:p>
      <w:pPr>
        <w:pStyle w:val="ListBullet"/>
      </w:pPr>
      <w:r>
        <w:rPr>
          <w:b w:val="0"/>
        </w:rPr>
        <w:t>Par. 498 is a second orphan: "Philippine Transmarine Carriers, Inc. v. NLRC: further clarifying the principle of imputed knowledge and the scope of joint and solidary liability" — a case with no G.R. number anywhere in the reviewer (see D5) and nothing under it but that one line.</w:t>
      </w:r>
    </w:p>
    <w:p>
      <w:pPr>
        <w:pStyle w:val="ListBullet"/>
      </w:pPr>
      <w:r>
        <w:rPr>
          <w:b w:val="0"/>
        </w:rPr>
        <w:t>Par. 509 attributes the continuing solidary liability of the former manning agency to Catan v. NLRC, also with no number anywhere. The proposition is sound and is now also supported by Questcore v. Bumanglag, which the reviewer cites at par. 545 and which was confirmed in this pass. Citing Questcore here would make the point verifiable.</w:t>
      </w:r>
    </w:p>
    <w:p>
      <w:r>
        <w:rPr>
          <w:b w:val="0"/>
        </w:rPr>
        <w:t>Worth restructuring so that the accreditation rules sit under the rules, and Santiago sits over its own holding.</w:t>
      </w:r>
    </w:p>
    <w:p>
      <w:r>
        <w:rPr>
          <w:b/>
        </w:rPr>
        <w:t>C3.  Felicilda v. Uy, G.R. No. 221241, September 14, 2016  —  [CONFIRMED]</w:t>
      </w:r>
    </w:p>
    <w:p>
      <w:r>
        <w:rPr>
          <w:b w:val="0"/>
        </w:rPr>
        <w:t>Location: paragraph 2909  ·  Section: Drivers / Tests for the Employer-Employee Relationship</w:t>
      </w:r>
    </w:p>
    <w:p>
      <w:pPr>
        <w:pStyle w:val="ListBullet"/>
      </w:pPr>
      <w:r>
        <w:rPr>
          <w:b w:val="0"/>
        </w:rPr>
        <w:t>The answer given is: "The applicable test is the economic reality test, not the four-fold test, because there are other employers." That is not the test the decision applies. Felicilda is decided on the four-fold test, and specifically on control: the case is cited for the proposition that actual supervision is not required for control to exist, which is a control-test holding, not an economic-reality one.</w:t>
      </w:r>
    </w:p>
    <w:p>
      <w:pPr>
        <w:pStyle w:val="ListBullet"/>
      </w:pPr>
      <w:r>
        <w:rPr>
          <w:b w:val="0"/>
        </w:rPr>
        <w:t>The reasoning that follows in the same paragraph is in fact control reasoning — the fixed routes, the instruction on how the goods were to be stacked, the prescribed time to return the truck. The reviewer has the right facts doing the right work under the wrong label.</w:t>
      </w:r>
    </w:p>
    <w:p>
      <w:pPr>
        <w:pStyle w:val="ListBullet"/>
      </w:pPr>
      <w:r>
        <w:rPr>
          <w:b w:val="0"/>
        </w:rPr>
        <w:t>The freedom to drive for others, which the paragraph treats as the trigger for switching tests, is answered in the case as part of the control analysis, not by abandoning it. The payment per trip is likewise disposed of as a mode of computing wages — the same point the reviewer makes correctly at pars. 2905 and 2910–2919 (Upod).</w:t>
      </w:r>
    </w:p>
    <w:p>
      <w:pPr>
        <w:pStyle w:val="ListBullet"/>
      </w:pPr>
      <w:r>
        <w:rPr>
          <w:b w:val="0"/>
        </w:rPr>
        <w:t>Note the knock-on effect: this is one of the three passages that state the two-tiered test (see B8), and it is the passage a reader is most likely to apply to a driver problem.</w:t>
      </w:r>
    </w:p>
    <w:p>
      <w:r>
        <w:rPr>
          <w:b w:val="0"/>
        </w:rPr>
        <w:t>Which element is defective: the first two sentences of the RULING/ANSWER at par. 2909. The outcome — that the independent-contractor defence fails — is correct.</w:t>
      </w:r>
    </w:p>
    <w:p>
      <w:r>
        <w:rPr>
          <w:b w:val="0"/>
        </w:rPr>
        <w:t>Verify at: lawphil.net/judjuris/juri2016/sep2016/gr_221241_2016.html</w:t>
      </w:r>
    </w:p>
    <w:p>
      <w:r>
        <w:rPr>
          <w:b/>
        </w:rPr>
        <w:t>C4.  Authorities left standing alone  —  [INTERNAL]</w:t>
      </w:r>
    </w:p>
    <w:p>
      <w:r>
        <w:rPr>
          <w:b w:val="0"/>
        </w:rPr>
        <w:t>Two citations in the audited set head nothing and explain nothing, so what the reviewer takes from them cannot be told from the document:</w:t>
      </w:r>
    </w:p>
    <w:p>
      <w:pPr>
        <w:pStyle w:val="ListBullet"/>
      </w:pPr>
      <w:r>
        <w:rPr>
          <w:b w:val="0"/>
        </w:rPr>
        <w:t>Par. 1534, SME Bank, Inc. v. De Guzman, G.R. Nos. 184517 and 186641, October 8, 2013. The paragraph after it is blank and the next heading, at 1536, starts a new subject (resident aliens and the AEP). On the reading that it is a trailing authority, it belongs to the stock-sale and asset-sale discussion at pars. 1525–1533, which is a correct statement of SME Bank — but nothing in the layout says so, and the discussion is also the answer to Bar Question No. 5 at pars. 2643–2645, where no authority is given at all. Put the citation where the doctrine is, and repeat it at Question No. 5.</w:t>
      </w:r>
    </w:p>
    <w:p>
      <w:pPr>
        <w:pStyle w:val="ListBullet"/>
      </w:pPr>
      <w:r>
        <w:rPr>
          <w:b w:val="0"/>
        </w:rPr>
        <w:t>Par. 3010, Century Properties, Inc. v. Babiano, G.R. No. 220978, July 5, 2016. The next paragraph begins the Portillo digest, so Babiano is left between two topics. Babiano is the case on forfeiture of commissions under a post-employment non-compete, which is the natural companion to Portillo on what may and may not be offset; if that is the intended use, say it in a line.</w:t>
      </w:r>
    </w:p>
    <w:p>
      <w:r>
        <w:rPr>
          <w:b/>
        </w:rPr>
        <w:t>C5.  Government Service Insurance System v. Court of Appeals, G.R. No. 128524, April 20, 1999  —  [TO VERIFY]</w:t>
      </w:r>
    </w:p>
    <w:p>
      <w:r>
        <w:rPr>
          <w:b w:val="0"/>
        </w:rPr>
        <w:t>Location: paragraph 2590 (closing parenthetical of the digest at 2581–2590)  ·  Section: Employees' Compensation</w:t>
      </w:r>
    </w:p>
    <w:p>
      <w:pPr>
        <w:pStyle w:val="ListBullet"/>
      </w:pPr>
      <w:r>
        <w:rPr>
          <w:b w:val="0"/>
        </w:rPr>
        <w:t>The digest itself is sound: the death of SPO2 Alegre, shot while ferrying passengers on his tricycle for extra income, was not compensable, and the 24-hour duty doctrine does not make every death of a policeman compensable.</w:t>
      </w:r>
    </w:p>
    <w:p>
      <w:pPr>
        <w:pStyle w:val="ListBullet"/>
      </w:pPr>
      <w:r>
        <w:rPr>
          <w:b w:val="0"/>
        </w:rPr>
        <w:t>The defect to check is the parenthetical: "(Same ruling: Tancinco v. GSIS.)" Tancinco also concerns a police officer killed while off duty — he was shot while repairing a service vehicle in front of his house while the Vice-President he guarded was abroad — and the sources reachable here do not agree on how the Court disposed of it. One account has the claim denied as not arising out of employment; the structure of the case, an appeal by the widow from a GSIS denial affirmed by the ECC, leaves open that the Court reversed on the service-vehicle connection. A "same ruling" string is only as good as the disposition it assumes.</w:t>
      </w:r>
    </w:p>
    <w:p>
      <w:pPr>
        <w:pStyle w:val="ListBullet"/>
      </w:pPr>
      <w:r>
        <w:rPr>
          <w:b w:val="0"/>
        </w:rPr>
        <w:t>This one should be cheap to close: Tancinco v. GSIS, G.R. No. 132916, is in Revision 3's LIST 1, so it was opened in that pass and the answer should be in those notes. If it went the other way, the parenthetical is an A4-type defect — a case cited for the opposite of what it holds — and the fix is to the string, not to the digest.</w:t>
      </w:r>
    </w:p>
    <w:p>
      <w:r>
        <w:rPr>
          <w:b w:val="0"/>
        </w:rPr>
        <w:t>Verify at: lawphil.net/judjuris/juri2001/nov2001/gr_132916_2001.html</w:t>
      </w:r>
    </w:p>
    <w:p>
      <w:r>
        <w:rPr>
          <w:b w:val="0"/>
        </w:rPr>
        <w:t>____________________________________________________________________________________________</w:t>
      </w:r>
    </w:p>
    <w:p>
      <w:r>
        <w:rPr>
          <w:b/>
        </w:rPr>
        <w:t>PRIORITY D — INCOMPLETE CITATIONS</w:t>
      </w:r>
    </w:p>
    <w:p>
      <w:r>
        <w:rPr>
          <w:b w:val="0"/>
        </w:rPr>
        <w:t>Continuing D1–D5. Neither of these is a wrong digest. They are flagged because the authority cannot be verified or looked up as it stands.</w:t>
      </w:r>
    </w:p>
    <w:p>
      <w:r>
        <w:rPr>
          <w:b/>
        </w:rPr>
        <w:t>D6 — A cross-reference with no date, carrying a proposition</w:t>
      </w:r>
    </w:p>
    <w:p>
      <w:pPr>
        <w:pStyle w:val="ListBullet"/>
      </w:pPr>
      <w:r>
        <w:rPr>
          <w:b w:val="0"/>
        </w:rPr>
        <w:t>Par. 731, "Cf. Guerrero v. Philippine Transmarine Carriers, Inc., G.R. No. 222523 (no date), on an injury sustained while exercising in the gym." The number is given, the date is not, and the proposition attached to it — what the Court made of a gym injury — is offered as a contrast to Arguilles (basketball on board, compensable) and Arriesgado. The contrast is the point of the sentence, so if the case does not hold what the aside implies, the Arguilles and Arriesgado discussion inherits the error. Supply the date and confirm the holding, or drop the "Cf."</w:t>
      </w:r>
    </w:p>
    <w:p>
      <w:r>
        <w:rPr>
          <w:b/>
        </w:rPr>
        <w:t>D7 — "Same ruling" strings inside the digests audited here</w:t>
      </w:r>
    </w:p>
    <w:p>
      <w:r>
        <w:rPr>
          <w:b w:val="0"/>
        </w:rPr>
        <w:t>Nine of the 135 entries close with a "(Same ruling: ...)" or "(Same doctrine as ...)" string that rests on a case never given a G.R. number anywhere in the reviewer. These are the paragraph locations, so they can be worked together with D5 rather than hunted twice:</w:t>
      </w:r>
    </w:p>
    <w:p>
      <w:pPr>
        <w:pStyle w:val="ListBullet"/>
      </w:pPr>
      <w:r>
        <w:rPr>
          <w:b w:val="0"/>
        </w:rPr>
        <w:t>Par. 509 — Catan v. NLRC  ·  Par. 955 — Site for Eyes v. Daming  ·  Par. 1077 — Agustin v. Alphaland  ·  Par. 1156 — Century Canning v. CA; Atlanta Industries v. Sebolino  ·  Par. 1300 — Zialcita v. PAL  ·  Par. 1330 — Capin-Cadiz v. Brent Hospital; Union School International v. Dagdag; Bohol Wisdom School v. Mabao  ·  Par. 1994 — Dasco v. Philtranco  ·  Par. 2431 — DBP v. NLRC  ·  Par. 2590 — Tancinco v. GSIS (and see C5).</w:t>
      </w:r>
    </w:p>
    <w:p>
      <w:r>
        <w:rPr>
          <w:b w:val="0"/>
        </w:rPr>
        <w:t>Two notes carried forward from Revision 3 and confirmed to still apply: Zialcita v. PAL at par. 1300 appears to be a labour-tribunal or Office of the President ruling rather than a Supreme Court decision, and it is offered as "same ruling" alongside PT&amp;T, a Supreme Court case; and Union School International v. Dagdag does carry a number elsewhere in the reviewer (G.R. No. 234186) and is in LIST 1, so only the string at par. 1330 needs the number added.</w:t>
      </w:r>
    </w:p>
    <w:p>
      <w:r>
        <w:rPr>
          <w:b w:val="0"/>
        </w:rPr>
        <w:t>____________________________________________________________________________________________</w:t>
      </w:r>
    </w:p>
    <w:p>
      <w:r>
        <w:rPr>
          <w:b/>
        </w:rPr>
        <w:t>WHAT CHECKED OUT — CONFIRMED AGAINST THE REPORTED DECISION AND SOUND</w:t>
      </w:r>
    </w:p>
    <w:p>
      <w:r>
        <w:rPr>
          <w:b w:val="0"/>
        </w:rPr>
        <w:t>For these 12, a reachable source reports the parties, date, holding or relief, and the reviewer matches. They are as far from doubt as this pass could take anything. Five further entries were confirmed to the same standard but did not match, and are the findings at A6 (Bernardo), A7 (Buenaflor), B4 (Paz), B7 (Urquico) and C3 (Felicilda) — 17 confirmed in all.</w:t>
      </w:r>
    </w:p>
    <w:p>
      <w:pPr>
        <w:pStyle w:val="ListBullet"/>
      </w:pPr>
      <w:r>
        <w:rPr>
          <w:b w:val="0"/>
        </w:rPr>
        <w:t>Halagueña v. Philippine Airlines, Inc. — G.R. No. 243259 (pars. 1331–1340). The En Banc declared Sec. 144(A) of the 2000–2005 PAL-FASAP CBA void for discriminating against women; the digest's holding and reasoning are right. Worth adding that it was En Banc and that the ruling came on review of the Court of Appeals.</w:t>
      </w:r>
    </w:p>
    <w:p>
      <w:pPr>
        <w:pStyle w:val="ListBullet"/>
      </w:pPr>
      <w:r>
        <w:rPr>
          <w:b w:val="0"/>
        </w:rPr>
        <w:t>Celis v. Bank of Makati (A Savings Bank), Inc. — G.R. No. 250776 (pars. 1569–1572). The dismissal was held illegal: an omission of past employment is not the giving of false information, and the Bank of Placer never found her liable. The answer at par. 1572 is correct. The relief was separation pay in lieu of reinstatement because of strained relations, which the answer could add.</w:t>
      </w:r>
    </w:p>
    <w:p>
      <w:pPr>
        <w:pStyle w:val="ListBullet"/>
      </w:pPr>
      <w:r>
        <w:rPr>
          <w:b w:val="0"/>
        </w:rPr>
        <w:t>Jaso v. Metrobank and Trust Co. — G.R. No. 235794 (pars. 1038–1047). Dismissal upheld; she was still probationary on the date of termination and the standards had been made known. Correct.</w:t>
      </w:r>
    </w:p>
    <w:p>
      <w:pPr>
        <w:pStyle w:val="ListBullet"/>
      </w:pPr>
      <w:r>
        <w:rPr>
          <w:b w:val="0"/>
        </w:rPr>
        <w:t>Simon v. The Results Companies — G.R. Nos. 249351-52 (pars. 1068–1077). Regular employee; backwages, separation pay and attorney's fees awarded, damages denied for want of bad faith. The digest is right; it omits only the denial of damages.</w:t>
      </w:r>
    </w:p>
    <w:p>
      <w:pPr>
        <w:pStyle w:val="ListBullet"/>
      </w:pPr>
      <w:r>
        <w:rPr>
          <w:b w:val="0"/>
        </w:rPr>
        <w:t>Paulino v. Sutherland Global Services, Inc.-Clark — G.R. No. 262564 (pars. 1281–1290). Revision 3 had to list this as unretrievable. It is retrievable now: the Third Division granted the petition, reversed the Court of Appeals, and held the transfer of a pregnant employee to a far site to be constructive dismissal violating the Magna Carta of Women, with full backwages, separation pay, ₱250,000 in damages, attorney's fees and interest. The digest is sound.</w:t>
      </w:r>
    </w:p>
    <w:p>
      <w:pPr>
        <w:pStyle w:val="ListBullet"/>
      </w:pPr>
      <w:r>
        <w:rPr>
          <w:b w:val="0"/>
        </w:rPr>
        <w:t>Questcore, Inc. v. Bumanglag — G.R. No. 253020 (pars. 545–547). Solidary liability of the local agency continues through successive renewals of the worker's contract; the two propositions as stated are correct.</w:t>
      </w:r>
    </w:p>
    <w:p>
      <w:pPr>
        <w:pStyle w:val="ListBullet"/>
      </w:pPr>
      <w:r>
        <w:rPr>
          <w:b w:val="0"/>
        </w:rPr>
        <w:t>Tandayag v. Magsaysay Maritime Corporation — G.R. No. 256183, May 19, 2025 (par. 599). Correct, including the date: a party's continuing and consistent objection to voluntary arbitration leaves jurisdiction with the Labor Arbiter under R.A. 8042.</w:t>
      </w:r>
    </w:p>
    <w:p>
      <w:pPr>
        <w:pStyle w:val="ListBullet"/>
      </w:pPr>
      <w:r>
        <w:rPr>
          <w:b w:val="0"/>
        </w:rPr>
        <w:t>Parce v. Magsaysay Maritime Corp. — G.R. No. 241309, October 13, 2025 (par. 467). Citation and date correct, and the proposition on the solidary liability of officers as a statutory exception to separate juridical personality is borne out.</w:t>
      </w:r>
    </w:p>
    <w:p>
      <w:pPr>
        <w:pStyle w:val="ListBullet"/>
      </w:pPr>
      <w:r>
        <w:rPr>
          <w:b w:val="0"/>
        </w:rPr>
        <w:t>Minsola v. New City Builders, Inc. — G.R. No. 207613 (pars. 866–875). Project employee; the illegal dismissal complaint was dismissed. Correct. The fallo also carried a small 13th-month pay differential, which the [CONCLUSION] could note.</w:t>
      </w:r>
    </w:p>
    <w:p>
      <w:pPr>
        <w:pStyle w:val="ListBullet"/>
      </w:pPr>
      <w:r>
        <w:rPr>
          <w:b w:val="0"/>
        </w:rPr>
        <w:t>Innodata Knowledge Services, Inc. v. Inting — G.R. No. 211892 (pars. 1564–1568). Date confirmed as December 6, 2017, and the commingling-of-employment-types analysis matches the case.</w:t>
      </w:r>
    </w:p>
    <w:p>
      <w:pPr>
        <w:pStyle w:val="ListBullet"/>
      </w:pPr>
      <w:r>
        <w:rPr>
          <w:b w:val="0"/>
        </w:rPr>
        <w:t>Stanford Microsystems, Inc. v. NLRC — G.R. No. L-74187 (pars. 3190–3196). The Court reversed the Labor Arbiter and the NLRC and sustained the dismissal although the company rules provided only for suspension. Correct, and it is one of the proportionality-of-penalties entries Revision 3 had wrongly listed as opened.</w:t>
      </w:r>
    </w:p>
    <w:p>
      <w:pPr>
        <w:pStyle w:val="ListBullet"/>
      </w:pPr>
      <w:r>
        <w:rPr>
          <w:b w:val="0"/>
        </w:rPr>
        <w:t>Paragele v. GMA Network, Inc. — G.R. No. 235315 (pars. 2968–2972). The camera operators were regular employees; the one-year requirement applies only to casual employees whose work is not necessary or desirable to the business. Correct, including the point the reviewer says is distinctive.</w:t>
      </w:r>
    </w:p>
    <w:p>
      <w:r>
        <w:rPr>
          <w:b w:val="0"/>
        </w:rPr>
        <w:t>____________________________________________________________________________________________</w:t>
      </w:r>
    </w:p>
    <w:p>
      <w:r>
        <w:rPr>
          <w:b/>
        </w:rPr>
        <w:t>COVERAGE AND LIMITS OF THIS REVISION</w:t>
      </w:r>
    </w:p>
    <w:p>
      <w:r>
        <w:rPr>
          <w:b w:val="0"/>
        </w:rPr>
        <w:t>The same caution Revision 3 ended on applies here, for a different reason. Revision 3's gap was that 160 citations were judged from recollection. This pass examined all of them, but could open none, because the full-text hosts are blocked at the network layer. Treat an entry's presence in LIST B as "examined, not confirmed," not as "verified correct."</w:t>
      </w:r>
    </w:p>
    <w:tbl>
      <w:tblPr>
        <w:tblStyle w:val="TableGrid"/>
        <w:tblW w:type="auto" w:w="0"/>
        <w:tblLook w:firstColumn="1" w:firstRow="1" w:lastColumn="0" w:lastRow="0" w:noHBand="0" w:noVBand="1" w:val="04A0"/>
      </w:tblPr>
      <w:tblGrid>
        <w:gridCol w:w="4320"/>
        <w:gridCol w:w="4320"/>
      </w:tblGrid>
      <w:tr>
        <w:tc>
          <w:tcPr>
            <w:tcW w:type="dxa" w:w="4320"/>
          </w:tcPr>
          <w:p>
            <w:r>
              <w:rPr>
                <w:b/>
              </w:rPr>
              <w:t>Depth of check in this pass</w:t>
            </w:r>
          </w:p>
        </w:tc>
        <w:tc>
          <w:tcPr>
            <w:tcW w:type="dxa" w:w="4320"/>
          </w:tcPr>
          <w:p>
            <w:r>
              <w:rPr>
                <w:b/>
              </w:rPr>
              <w:t>Entries</w:t>
            </w:r>
          </w:p>
        </w:tc>
      </w:tr>
      <w:tr>
        <w:tc>
          <w:tcPr>
            <w:tcW w:type="dxa" w:w="4320"/>
          </w:tcPr>
          <w:p>
            <w:r>
              <w:t>Confirmed against the reported decision (parties, date, holding or relief) through a reachable source — 12 matched the reviewer, 5 produced findings (A6, A7, B4, B7, C3)</w:t>
            </w:r>
          </w:p>
        </w:tc>
        <w:tc>
          <w:tcPr>
            <w:tcW w:type="dxa" w:w="4320"/>
          </w:tcPr>
          <w:p>
            <w:r>
              <w:t>17</w:t>
            </w:r>
          </w:p>
        </w:tc>
      </w:tr>
      <w:tr>
        <w:tc>
          <w:tcPr>
            <w:tcW w:type="dxa" w:w="4320"/>
          </w:tcPr>
          <w:p>
            <w:r>
              <w:t>Defect established from the reviewer's own text, needing no external source [INTERNAL]</w:t>
            </w:r>
          </w:p>
        </w:tc>
        <w:tc>
          <w:tcPr>
            <w:tcW w:type="dxa" w:w="4320"/>
          </w:tcPr>
          <w:p>
            <w:r>
              <w:t>4</w:t>
            </w:r>
          </w:p>
        </w:tc>
      </w:tr>
      <w:tr>
        <w:tc>
          <w:tcPr>
            <w:tcW w:type="dxa" w:w="4320"/>
          </w:tcPr>
          <w:p>
            <w:r>
              <w:t>Specific material doubt raised but not established [TO VERIFY]</w:t>
            </w:r>
          </w:p>
        </w:tc>
        <w:tc>
          <w:tcPr>
            <w:tcW w:type="dxa" w:w="4320"/>
          </w:tcPr>
          <w:p>
            <w:r>
              <w:t>5</w:t>
            </w:r>
          </w:p>
        </w:tc>
      </w:tr>
      <w:tr>
        <w:tc>
          <w:tcPr>
            <w:tcW w:type="dxa" w:w="4320"/>
          </w:tcPr>
          <w:p>
            <w:r>
              <w:t>Examined; nothing found at this depth</w:t>
            </w:r>
          </w:p>
        </w:tc>
        <w:tc>
          <w:tcPr>
            <w:tcW w:type="dxa" w:w="4320"/>
          </w:tcPr>
          <w:p>
            <w:r>
              <w:t>109</w:t>
            </w:r>
          </w:p>
        </w:tc>
      </w:tr>
      <w:tr>
        <w:tc>
          <w:tcPr>
            <w:tcW w:type="dxa" w:w="4320"/>
          </w:tcPr>
          <w:p>
            <w:r>
              <w:t>Total substantive entries audited</w:t>
            </w:r>
          </w:p>
        </w:tc>
        <w:tc>
          <w:tcPr>
            <w:tcW w:type="dxa" w:w="4320"/>
          </w:tcPr>
          <w:p>
            <w:r>
              <w:t>135</w:t>
            </w:r>
          </w:p>
        </w:tc>
      </w:tr>
      <w:tr>
        <w:tc>
          <w:tcPr>
            <w:tcW w:type="dxa" w:w="4320"/>
          </w:tcPr>
          <w:p>
            <w:r>
              <w:t>Excluded as bare citations only, as directed</w:t>
            </w:r>
          </w:p>
        </w:tc>
        <w:tc>
          <w:tcPr>
            <w:tcW w:type="dxa" w:w="4320"/>
          </w:tcPr>
          <w:p>
            <w:r>
              <w:t>24</w:t>
            </w:r>
          </w:p>
        </w:tc>
      </w:tr>
      <w:tr>
        <w:tc>
          <w:tcPr>
            <w:tcW w:type="dxa" w:w="4320"/>
          </w:tcPr>
          <w:p>
            <w:r>
              <w:t>Excluded as a duplicate of an entry audited under another number</w:t>
            </w:r>
          </w:p>
        </w:tc>
        <w:tc>
          <w:tcPr>
            <w:tcW w:type="dxa" w:w="4320"/>
          </w:tcPr>
          <w:p>
            <w:r>
              <w:t>1</w:t>
            </w:r>
          </w:p>
        </w:tc>
      </w:tr>
    </w:tbl>
    <w:p>
      <w:r>
        <w:rPr>
          <w:b w:val="0"/>
        </w:rPr>
      </w:r>
    </w:p>
    <w:p>
      <w:r>
        <w:rPr>
          <w:b/>
        </w:rPr>
        <w:t>LIST A — the 17 confirmed against the reported decision</w:t>
      </w:r>
    </w:p>
    <w:p>
      <w:r>
        <w:rPr>
          <w:b w:val="0"/>
        </w:rPr>
        <w:t>Twelve are listed in the section above and match the reviewer. The other five produced the findings at A6 (Bernardo v. NLRC), A7 (Buenaflor v. Stolt-Nielsen), B4 (Paz v. Northern Tobacco Redrying), B7 (People v. Urquico) and C3 (Felicilda v. Uy).</w:t>
      </w:r>
    </w:p>
    <w:p>
      <w:r>
        <w:rPr>
          <w:b/>
        </w:rPr>
        <w:t>LIST B — examined, not confirmed against the decision (118 entries)</w:t>
      </w:r>
    </w:p>
    <w:p>
      <w:r>
        <w:rPr>
          <w:b w:val="0"/>
        </w:rPr>
        <w:t>Everything audited in this pass except the 17 in LIST A. Nine of them carry a finding above — the four [INTERNAL] defects at B8, C2 and C4, and the five [TO VERIFY] doubts at B5, B6, B9, B10 and C5 — and the other 109 produced nothing at this depth. All 118 are listed together because the limit on them is the same: the decision itself was never opened.</w:t>
      </w:r>
    </w:p>
    <w:p>
      <w:r>
        <w:rPr>
          <w:b w:val="0"/>
        </w:rPr>
        <w:t>They were read against the digest's own internal logic, against the doctrine as the reviewer states it elsewhere, and against what could be learned of the case short of its text. That is close to the standard Revision 3 warned about, and the kind of error found at A1, A3, A4, A6 and A7 — a correct citation carrying an inverted holding, a flattened split, or a fact that is not in the record — is only sometimes detectable at this depth. This is the list to run against full texts once the network policy allows it.</w:t>
      </w:r>
    </w:p>
    <w:p>
      <w:pPr>
        <w:pStyle w:val="ListBullet"/>
      </w:pPr>
      <w:r>
        <w:rPr>
          <w:b w:val="0"/>
        </w:rPr>
        <w:t>Philippine Association of Service Exporters, Inc. v. Drilon — G.R. No. 81958  (pars. 115–117)</w:t>
      </w:r>
    </w:p>
    <w:p>
      <w:pPr>
        <w:pStyle w:val="ListBullet"/>
      </w:pPr>
      <w:r>
        <w:rPr>
          <w:b w:val="0"/>
        </w:rPr>
        <w:t>Philippine Association of Service Exporters, Inc. v. Torres — G.R. No. 101279  (pars. 118–136)</w:t>
      </w:r>
    </w:p>
    <w:p>
      <w:pPr>
        <w:pStyle w:val="ListBullet"/>
      </w:pPr>
      <w:r>
        <w:rPr>
          <w:b w:val="0"/>
        </w:rPr>
        <w:t>Sto. Tomas v. Salac — G.R. No. 152642  (pars. 463–469)</w:t>
      </w:r>
    </w:p>
    <w:p>
      <w:pPr>
        <w:pStyle w:val="ListBullet"/>
      </w:pPr>
      <w:r>
        <w:rPr>
          <w:b w:val="0"/>
        </w:rPr>
        <w:t>Sto. Tomas v. Salac — G.R. No. 196036  (pars. 470–479)</w:t>
      </w:r>
    </w:p>
    <w:p>
      <w:pPr>
        <w:pStyle w:val="ListBullet"/>
      </w:pPr>
      <w:r>
        <w:rPr>
          <w:b w:val="0"/>
        </w:rPr>
        <w:t>Santiago v. CF Sharp Crew Management, Inc. — G.R. No. 162419  (pars. 497–511)</w:t>
      </w:r>
    </w:p>
    <w:p>
      <w:pPr>
        <w:pStyle w:val="ListBullet"/>
      </w:pPr>
      <w:r>
        <w:rPr>
          <w:b w:val="0"/>
        </w:rPr>
        <w:t>Serrano v. Gallant Maritime Services, Inc. — G.R. No. 167614  (pars. 525–534)</w:t>
      </w:r>
    </w:p>
    <w:p>
      <w:pPr>
        <w:pStyle w:val="ListBullet"/>
      </w:pPr>
      <w:r>
        <w:rPr>
          <w:b w:val="0"/>
        </w:rPr>
        <w:t>Sameer Overseas Placement Agency, Inc. v. Cabiles — G.R. No. 170139  (pars. 535–544)</w:t>
      </w:r>
    </w:p>
    <w:p>
      <w:pPr>
        <w:pStyle w:val="ListBullet"/>
      </w:pPr>
      <w:r>
        <w:rPr>
          <w:b w:val="0"/>
        </w:rPr>
        <w:t>Stolt-Nielsen Transportation Group, Inc. v. Medequillo, Jr. — G.R. No. 177498  (pars. 605–614)</w:t>
      </w:r>
    </w:p>
    <w:p>
      <w:pPr>
        <w:pStyle w:val="ListBullet"/>
      </w:pPr>
      <w:r>
        <w:rPr>
          <w:b w:val="0"/>
        </w:rPr>
        <w:t>Denusta v. Migrant Workers Manpower Agency, Inc. — G.R. No. 264158  (pars. 629–638)</w:t>
      </w:r>
    </w:p>
    <w:p>
      <w:pPr>
        <w:pStyle w:val="ListBullet"/>
      </w:pPr>
      <w:r>
        <w:rPr>
          <w:b w:val="0"/>
        </w:rPr>
        <w:t>Millares and Lagda v. NLRC — G.R. No. 110524  (pars. 660–669)</w:t>
      </w:r>
    </w:p>
    <w:p>
      <w:pPr>
        <w:pStyle w:val="ListBullet"/>
      </w:pPr>
      <w:r>
        <w:rPr>
          <w:b w:val="0"/>
        </w:rPr>
        <w:t>Gadia v. Sykes Asia, Inc. — G.R. No. 209499  (pars. 896–905)</w:t>
      </w:r>
    </w:p>
    <w:p>
      <w:pPr>
        <w:pStyle w:val="ListBullet"/>
      </w:pPr>
      <w:r>
        <w:rPr>
          <w:b w:val="0"/>
        </w:rPr>
        <w:t>University of Santo Tomas v. Samahang Manggagawa ng UST — G.R. No. 184262  (pars. 922–931)</w:t>
      </w:r>
    </w:p>
    <w:p>
      <w:pPr>
        <w:pStyle w:val="ListBullet"/>
      </w:pPr>
      <w:r>
        <w:rPr>
          <w:b w:val="0"/>
        </w:rPr>
        <w:t>Brent School, Inc. v. Zamora — G.R. No. 48494  (pars. 936–945)</w:t>
      </w:r>
    </w:p>
    <w:p>
      <w:pPr>
        <w:pStyle w:val="ListBullet"/>
      </w:pPr>
      <w:r>
        <w:rPr>
          <w:b w:val="0"/>
        </w:rPr>
        <w:t>Claret School of Quezon City v. Sinday — G.R. No. 226358  (pars. 946–955)</w:t>
      </w:r>
    </w:p>
    <w:p>
      <w:pPr>
        <w:pStyle w:val="ListBullet"/>
      </w:pPr>
      <w:r>
        <w:rPr>
          <w:b w:val="0"/>
        </w:rPr>
        <w:t>Regala v. Manila Hotel Corporation — G.R. No. 204684  (pars. 956–965)</w:t>
      </w:r>
    </w:p>
    <w:p>
      <w:pPr>
        <w:pStyle w:val="ListBullet"/>
      </w:pPr>
      <w:r>
        <w:rPr>
          <w:b w:val="0"/>
        </w:rPr>
        <w:t>Universal Robina Sugar Milling Corp. v. Acibo — G.R. No. 186439  (pars. 971–980)</w:t>
      </w:r>
    </w:p>
    <w:p>
      <w:pPr>
        <w:pStyle w:val="ListBullet"/>
      </w:pPr>
      <w:r>
        <w:rPr>
          <w:b w:val="0"/>
        </w:rPr>
        <w:t>Espina v. Highlands Camp/Rawlings Foundation, Inc. — G.R. No. 220935  (pars. 1011–1020)</w:t>
      </w:r>
    </w:p>
    <w:p>
      <w:pPr>
        <w:pStyle w:val="ListBullet"/>
      </w:pPr>
      <w:r>
        <w:rPr>
          <w:b w:val="0"/>
        </w:rPr>
        <w:t>Oyster Plaza Hotel v. Melivo — G.R. No. 217455  (pars. 1078–1087)</w:t>
      </w:r>
    </w:p>
    <w:p>
      <w:pPr>
        <w:pStyle w:val="ListBullet"/>
      </w:pPr>
      <w:r>
        <w:rPr>
          <w:b w:val="0"/>
        </w:rPr>
        <w:t>Nitto Enterprises v. NLRC — G.R. No. 114337  (pars. 1147–1156)</w:t>
      </w:r>
    </w:p>
    <w:p>
      <w:pPr>
        <w:pStyle w:val="ListBullet"/>
      </w:pPr>
      <w:r>
        <w:rPr>
          <w:b w:val="0"/>
        </w:rPr>
        <w:t>Apex Mining Co., Inc. v. NLRC — G.R. No. 94951  (pars. 1226–1235)</w:t>
      </w:r>
    </w:p>
    <w:p>
      <w:pPr>
        <w:pStyle w:val="ListBullet"/>
      </w:pPr>
      <w:r>
        <w:rPr>
          <w:b w:val="0"/>
        </w:rPr>
        <w:t>LBC Express-Vis, Inc. v. Palco — G.R. No. 217101  (pars. 1271–1280)</w:t>
      </w:r>
    </w:p>
    <w:p>
      <w:pPr>
        <w:pStyle w:val="ListBullet"/>
      </w:pPr>
      <w:r>
        <w:rPr>
          <w:b w:val="0"/>
        </w:rPr>
        <w:t>Philippine Telegraph and Telephone Co. v. NLRC — G.R. No. 118978  (pars. 1291–1300)</w:t>
      </w:r>
    </w:p>
    <w:p>
      <w:pPr>
        <w:pStyle w:val="ListBullet"/>
      </w:pPr>
      <w:r>
        <w:rPr>
          <w:b w:val="0"/>
        </w:rPr>
        <w:t>Dela Cruz-Cagampan v. One Network Bank, Inc. — G.R. No. 217414  (pars. 1301–1310)</w:t>
      </w:r>
    </w:p>
    <w:p>
      <w:pPr>
        <w:pStyle w:val="ListBullet"/>
      </w:pPr>
      <w:r>
        <w:rPr>
          <w:b w:val="0"/>
        </w:rPr>
        <w:t>Saudi Arabian Airlines v. Rebesencio — G.R. No. 198587  (pars. 1311–1320)</w:t>
      </w:r>
    </w:p>
    <w:p>
      <w:pPr>
        <w:pStyle w:val="ListBullet"/>
      </w:pPr>
      <w:r>
        <w:rPr>
          <w:b w:val="0"/>
        </w:rPr>
        <w:t>Leus v. St. Scholastica's College Westgrove — G.R. No. 187226  (pars. 1321–1330)</w:t>
      </w:r>
    </w:p>
    <w:p>
      <w:pPr>
        <w:pStyle w:val="ListBullet"/>
      </w:pPr>
      <w:r>
        <w:rPr>
          <w:b w:val="0"/>
        </w:rPr>
        <w:t>Padilla v. Airborne Security Service, Inc. — G.R. No. 210080  (pars. 1381–1390)</w:t>
      </w:r>
    </w:p>
    <w:p>
      <w:pPr>
        <w:pStyle w:val="ListBullet"/>
      </w:pPr>
      <w:r>
        <w:rPr>
          <w:b w:val="0"/>
        </w:rPr>
        <w:t>General Milling Corp. v. Torres — G.R. No. 93666  (pars. 1413–1422)</w:t>
      </w:r>
    </w:p>
    <w:p>
      <w:pPr>
        <w:pStyle w:val="ListBullet"/>
      </w:pPr>
      <w:r>
        <w:rPr>
          <w:b w:val="0"/>
        </w:rPr>
        <w:t>Ditiangkin v. Lazada E-Services Philippines, Inc. — G.R. No. 246892  (pars. 1440–1452)</w:t>
      </w:r>
    </w:p>
    <w:p>
      <w:pPr>
        <w:pStyle w:val="ListBullet"/>
      </w:pPr>
      <w:r>
        <w:rPr>
          <w:b w:val="0"/>
        </w:rPr>
        <w:t>Gemudiano, Jr. v. Naess Shipping Philippines, Inc. — G.R. No. 223825  (pars. 1453–1465)</w:t>
      </w:r>
    </w:p>
    <w:p>
      <w:pPr>
        <w:pStyle w:val="ListBullet"/>
      </w:pPr>
      <w:r>
        <w:rPr>
          <w:b w:val="0"/>
        </w:rPr>
        <w:t>Sagun v. ANZ Global Services and Operations (Manila), Inc. — G.R. No. 220399  (pars. 1466–1472)</w:t>
      </w:r>
    </w:p>
    <w:p>
      <w:pPr>
        <w:pStyle w:val="ListBullet"/>
      </w:pPr>
      <w:r>
        <w:rPr>
          <w:b w:val="0"/>
        </w:rPr>
        <w:t>Philippine Airlines, Inc. v. National Labor Relations Commission — G.R. No. 85985  (pars. 1515–1533)</w:t>
      </w:r>
    </w:p>
    <w:p>
      <w:pPr>
        <w:pStyle w:val="ListBullet"/>
      </w:pPr>
      <w:r>
        <w:rPr>
          <w:b w:val="0"/>
        </w:rPr>
        <w:t>SME Bank, Inc. v. De Guzman — G.R. No. 184517  (pars. 1534–1552)</w:t>
      </w:r>
    </w:p>
    <w:p>
      <w:pPr>
        <w:pStyle w:val="ListBullet"/>
      </w:pPr>
      <w:r>
        <w:rPr>
          <w:b w:val="0"/>
        </w:rPr>
        <w:t>Lumanta v. National Labor Relations Commission — G.R. No. 82819  (pars. 1585–1588)</w:t>
      </w:r>
    </w:p>
    <w:p>
      <w:pPr>
        <w:pStyle w:val="ListBullet"/>
      </w:pPr>
      <w:r>
        <w:rPr>
          <w:b w:val="0"/>
        </w:rPr>
        <w:t>Note that National Housing Corp. v. Juco — G.R. No. 64313  (pars. 1589–1593)</w:t>
      </w:r>
    </w:p>
    <w:p>
      <w:pPr>
        <w:pStyle w:val="ListBullet"/>
      </w:pPr>
      <w:r>
        <w:rPr>
          <w:b w:val="0"/>
        </w:rPr>
        <w:t>GSIS Family Bank Employees Union v. Villanueva — G.R. No. 210773  (pars. 1590–1593)</w:t>
      </w:r>
    </w:p>
    <w:p>
      <w:pPr>
        <w:pStyle w:val="ListBullet"/>
      </w:pPr>
      <w:r>
        <w:rPr>
          <w:b w:val="0"/>
        </w:rPr>
        <w:t>GSIS in Government Service Insurance System v. Kapisanan ng mga Manggagawa sa GSIS — G.R. No. 170132  (pars. 1593–1594)</w:t>
      </w:r>
    </w:p>
    <w:p>
      <w:pPr>
        <w:pStyle w:val="ListBullet"/>
      </w:pPr>
      <w:r>
        <w:rPr>
          <w:b w:val="0"/>
        </w:rPr>
        <w:t>Salenga v. Court of Appeals — G.R. No. 174941  (pars. 1595–1604)</w:t>
      </w:r>
    </w:p>
    <w:p>
      <w:pPr>
        <w:pStyle w:val="ListBullet"/>
      </w:pPr>
      <w:r>
        <w:rPr>
          <w:b w:val="0"/>
        </w:rPr>
        <w:t>Industrial Personnel &amp; Management Services, Inc. v. De Vera — G.R. No. 205703  (pars. 1605–1612)</w:t>
      </w:r>
    </w:p>
    <w:p>
      <w:pPr>
        <w:pStyle w:val="ListBullet"/>
      </w:pPr>
      <w:r>
        <w:rPr>
          <w:b w:val="0"/>
        </w:rPr>
        <w:t>ATCI Overseas Corp. v. Echin — G.R. No. 178551  (pars. 1613–1622)</w:t>
      </w:r>
    </w:p>
    <w:p>
      <w:pPr>
        <w:pStyle w:val="ListBullet"/>
      </w:pPr>
      <w:r>
        <w:rPr>
          <w:b w:val="0"/>
        </w:rPr>
        <w:t>Department of Foreign Affairs v. National Labor Relations Commission — G.R. No. 113191  (pars. 1637–1639)</w:t>
      </w:r>
    </w:p>
    <w:p>
      <w:pPr>
        <w:pStyle w:val="ListBullet"/>
      </w:pPr>
      <w:r>
        <w:rPr>
          <w:b w:val="0"/>
        </w:rPr>
        <w:t>Austria v. National Labor Relations Commission — G.R. No. 124382  (pars. 1641–1645)</w:t>
      </w:r>
    </w:p>
    <w:p>
      <w:pPr>
        <w:pStyle w:val="ListBullet"/>
      </w:pPr>
      <w:r>
        <w:rPr>
          <w:b w:val="0"/>
        </w:rPr>
        <w:t>Bishop Shinji Amari of Abiko Baptist Church v. Villaflor, Jr. — G.R. No. 224521  (pars. 1647–1665)</w:t>
      </w:r>
    </w:p>
    <w:p>
      <w:pPr>
        <w:pStyle w:val="ListBullet"/>
      </w:pPr>
      <w:r>
        <w:rPr>
          <w:b w:val="0"/>
        </w:rPr>
        <w:t>Bisig Manggagawa sa Tryco v. NLRC — G.R. No. 151309  (pars. 1853–1862)</w:t>
      </w:r>
    </w:p>
    <w:p>
      <w:pPr>
        <w:pStyle w:val="ListBullet"/>
      </w:pPr>
      <w:r>
        <w:rPr>
          <w:b w:val="0"/>
        </w:rPr>
        <w:t>Linton Commercial Co., Inc. v. Hellera — G.R. No. 163147  (pars. 1863–1872)</w:t>
      </w:r>
    </w:p>
    <w:p>
      <w:pPr>
        <w:pStyle w:val="ListBullet"/>
      </w:pPr>
      <w:r>
        <w:rPr>
          <w:b w:val="0"/>
        </w:rPr>
        <w:t>Sugue v. Triumph International (Phils.), Inc. — G.R. No. 164804  (pars. 1873–1882)</w:t>
      </w:r>
    </w:p>
    <w:p>
      <w:pPr>
        <w:pStyle w:val="ListBullet"/>
      </w:pPr>
      <w:r>
        <w:rPr>
          <w:b w:val="0"/>
        </w:rPr>
        <w:t>Refusal to render emergency overtime is insubordination (R.B. Michael Press v. Galit — G.R. No. 153510  (pars. 1935–1935)</w:t>
      </w:r>
    </w:p>
    <w:p>
      <w:pPr>
        <w:pStyle w:val="ListBullet"/>
      </w:pPr>
      <w:r>
        <w:rPr>
          <w:b w:val="0"/>
        </w:rPr>
        <w:t>Jose Rizal College v. NLRC — G.R. No. 65482  (pars. 1974–1974)</w:t>
      </w:r>
    </w:p>
    <w:p>
      <w:pPr>
        <w:pStyle w:val="ListBullet"/>
      </w:pPr>
      <w:r>
        <w:rPr>
          <w:b w:val="0"/>
        </w:rPr>
        <w:t>Auto Bus Transport Systems, Inc. v. Bautista — G.R. No. 156367  (pars. 1985–1994)</w:t>
      </w:r>
    </w:p>
    <w:p>
      <w:pPr>
        <w:pStyle w:val="ListBullet"/>
      </w:pPr>
      <w:r>
        <w:rPr>
          <w:b w:val="0"/>
        </w:rPr>
        <w:t>Marby Food Ventures Corp. v. Dela Cruz — G.R. No. 244629  (pars. 1995–2004)</w:t>
      </w:r>
    </w:p>
    <w:p>
      <w:pPr>
        <w:pStyle w:val="ListBullet"/>
      </w:pPr>
      <w:r>
        <w:rPr>
          <w:b w:val="0"/>
        </w:rPr>
        <w:t>Realda v. New Age Graphics, Inc. — G.R. No. 192190  (pars. 2005–2014)</w:t>
      </w:r>
    </w:p>
    <w:p>
      <w:pPr>
        <w:pStyle w:val="ListBullet"/>
      </w:pPr>
      <w:r>
        <w:rPr>
          <w:b w:val="0"/>
        </w:rPr>
        <w:t>Zonio v. 1st Quantum Leap Security Agency, Inc. — G.R. No. 224944  (pars. 2015–2024)</w:t>
      </w:r>
    </w:p>
    <w:p>
      <w:pPr>
        <w:pStyle w:val="ListBullet"/>
      </w:pPr>
      <w:r>
        <w:rPr>
          <w:b w:val="0"/>
        </w:rPr>
        <w:t>Sime Darby Pilipinas, Inc. v. NLRC — G.R. No. 119205  (pars. 2035–2044)</w:t>
      </w:r>
    </w:p>
    <w:p>
      <w:pPr>
        <w:pStyle w:val="ListBullet"/>
      </w:pPr>
      <w:r>
        <w:rPr>
          <w:b w:val="0"/>
        </w:rPr>
        <w:t>Eastern Telecommunications Philippines, Inc. v. Eastern Telecoms Employees Union — G.R. No. 185665  (pars. 2045–2054)</w:t>
      </w:r>
    </w:p>
    <w:p>
      <w:pPr>
        <w:pStyle w:val="ListBullet"/>
      </w:pPr>
      <w:r>
        <w:rPr>
          <w:b w:val="0"/>
        </w:rPr>
        <w:t>Home Credit Mutual Building and Loan Association v. Prudente — G.R. No. 200010  (pars. 2055–2064)</w:t>
      </w:r>
    </w:p>
    <w:p>
      <w:pPr>
        <w:pStyle w:val="ListBullet"/>
      </w:pPr>
      <w:r>
        <w:rPr>
          <w:b w:val="0"/>
        </w:rPr>
        <w:t>Coca-Cola Bottlers Philippines, Inc. v. Iloilo Coca-Cola Plant Employees Labor Union — G.R. No. 195297  (pars. 2065–2074)</w:t>
      </w:r>
    </w:p>
    <w:p>
      <w:pPr>
        <w:pStyle w:val="ListBullet"/>
      </w:pPr>
      <w:r>
        <w:rPr>
          <w:b w:val="0"/>
        </w:rPr>
        <w:t>Mayon Hotel &amp; Restaurant v. Adana — G.R. No. 157634  (pars. 2228–2237)</w:t>
      </w:r>
    </w:p>
    <w:p>
      <w:pPr>
        <w:pStyle w:val="ListBullet"/>
      </w:pPr>
      <w:r>
        <w:rPr>
          <w:b w:val="0"/>
        </w:rPr>
        <w:t>Our Haus Realty Development Corp. v. Parian — G.R. No. 204651  (pars. 2238–2247)</w:t>
      </w:r>
    </w:p>
    <w:p>
      <w:pPr>
        <w:pStyle w:val="ListBullet"/>
      </w:pPr>
      <w:r>
        <w:rPr>
          <w:b w:val="0"/>
        </w:rPr>
        <w:t>Milan v. NLRC — G.R. No. 202961  (pars. 2248–2257)</w:t>
      </w:r>
    </w:p>
    <w:p>
      <w:pPr>
        <w:pStyle w:val="ListBullet"/>
      </w:pPr>
      <w:r>
        <w:rPr>
          <w:b w:val="0"/>
        </w:rPr>
        <w:t>Prubankers Association v. Prudential Bank &amp; Trust Co. — G.R. No. 131247  (pars. 2258–2267)</w:t>
      </w:r>
    </w:p>
    <w:p>
      <w:pPr>
        <w:pStyle w:val="ListBullet"/>
      </w:pPr>
      <w:r>
        <w:rPr>
          <w:b w:val="0"/>
        </w:rPr>
        <w:t>Philippine Geothermal, Inc. Employees Union v. Chevron Geothermal Phils. Holdings, Inc. — G.R. No. 207252  (pars. 2268–2277)</w:t>
      </w:r>
    </w:p>
    <w:p>
      <w:pPr>
        <w:pStyle w:val="ListBullet"/>
      </w:pPr>
      <w:r>
        <w:rPr>
          <w:b w:val="0"/>
        </w:rPr>
        <w:t>Provincial Bus Operators Association of the Philippines v. DOLE — G.R. No. 202275  (pars. 2288–2297)</w:t>
      </w:r>
    </w:p>
    <w:p>
      <w:pPr>
        <w:pStyle w:val="ListBullet"/>
      </w:pPr>
      <w:r>
        <w:rPr>
          <w:b w:val="0"/>
        </w:rPr>
        <w:t>Grand Asian Shipping Lines, Inc. v. Galvez — G.R. No. 178184  (pars. 2298–2307)</w:t>
      </w:r>
    </w:p>
    <w:p>
      <w:pPr>
        <w:pStyle w:val="ListBullet"/>
      </w:pPr>
      <w:r>
        <w:rPr>
          <w:b w:val="0"/>
        </w:rPr>
        <w:t>Aliviado v. Procter &amp; Gamble Philippines, Inc. — G.R. No. 160506  (pars. 2335–2344)</w:t>
      </w:r>
    </w:p>
    <w:p>
      <w:pPr>
        <w:pStyle w:val="ListBullet"/>
      </w:pPr>
      <w:r>
        <w:rPr>
          <w:b w:val="0"/>
        </w:rPr>
        <w:t>Development Bank of the Philippines v. Secretary of Labor — G.R. No. 79351  (pars. 2422–2431)</w:t>
      </w:r>
    </w:p>
    <w:p>
      <w:pPr>
        <w:pStyle w:val="ListBullet"/>
      </w:pPr>
      <w:r>
        <w:rPr>
          <w:b w:val="0"/>
        </w:rPr>
        <w:t>Social Security Commission v. Favila — G.R. No. 170195  (pars. 2521–2530)</w:t>
      </w:r>
    </w:p>
    <w:p>
      <w:pPr>
        <w:pStyle w:val="ListBullet"/>
      </w:pPr>
      <w:r>
        <w:rPr>
          <w:b w:val="0"/>
        </w:rPr>
        <w:t>Haveria v. Social Security System — G.R. No. 181154  (pars. 2531–2540)</w:t>
      </w:r>
    </w:p>
    <w:p>
      <w:pPr>
        <w:pStyle w:val="ListBullet"/>
      </w:pPr>
      <w:r>
        <w:rPr>
          <w:b w:val="0"/>
        </w:rPr>
        <w:t>Dycaico v. Social Security System — G.R. No. 161357  (pars. 2541–2550)</w:t>
      </w:r>
    </w:p>
    <w:p>
      <w:pPr>
        <w:pStyle w:val="ListBullet"/>
      </w:pPr>
      <w:r>
        <w:rPr>
          <w:b w:val="0"/>
        </w:rPr>
        <w:t>Government Service Insurance System v. Besitan — G.R. No. 178901  (pars. 2571–2580)</w:t>
      </w:r>
    </w:p>
    <w:p>
      <w:pPr>
        <w:pStyle w:val="ListBullet"/>
      </w:pPr>
      <w:r>
        <w:rPr>
          <w:b w:val="0"/>
        </w:rPr>
        <w:t>Government Service Insurance System v. Court of Appeals — G.R. No. 128524  (pars. 2581–2590)</w:t>
      </w:r>
    </w:p>
    <w:p>
      <w:pPr>
        <w:pStyle w:val="ListBullet"/>
      </w:pPr>
      <w:r>
        <w:rPr>
          <w:b w:val="0"/>
        </w:rPr>
        <w:t>Mariwasa Manufacturing, Inc. v. Leogardo, Jr. — G.R. No. 74246  (pars. 2613–2617)</w:t>
      </w:r>
    </w:p>
    <w:p>
      <w:pPr>
        <w:pStyle w:val="ListBullet"/>
      </w:pPr>
      <w:r>
        <w:rPr>
          <w:b w:val="0"/>
        </w:rPr>
        <w:t>Buiser v. Leogardo, Jr. — G.R. No. 63316  (pars. 2619–2621)</w:t>
      </w:r>
    </w:p>
    <w:p>
      <w:pPr>
        <w:pStyle w:val="ListBullet"/>
      </w:pPr>
      <w:r>
        <w:rPr>
          <w:b w:val="0"/>
        </w:rPr>
        <w:t>Abbott Laboratories, Philippines v. Alcaraz — G.R. No. 192571  (pars. 2634–2641)</w:t>
      </w:r>
    </w:p>
    <w:p>
      <w:pPr>
        <w:pStyle w:val="ListBullet"/>
      </w:pPr>
      <w:r>
        <w:rPr>
          <w:b w:val="0"/>
        </w:rPr>
        <w:t>Bankard Employees Union-WATU v. NLRC — G.R. No. 140689  (pars. 2657–2660)</w:t>
      </w:r>
    </w:p>
    <w:p>
      <w:pPr>
        <w:pStyle w:val="ListBullet"/>
      </w:pPr>
      <w:r>
        <w:rPr>
          <w:b w:val="0"/>
        </w:rPr>
        <w:t>Royal Plant Workers Union v. Coca-Cola Bottlers Philippines, Inc.-Cebu Plant — G.R. No. 198783  (pars. 2662–2666)</w:t>
      </w:r>
    </w:p>
    <w:p>
      <w:pPr>
        <w:pStyle w:val="ListBullet"/>
      </w:pPr>
      <w:r>
        <w:rPr>
          <w:b w:val="0"/>
        </w:rPr>
        <w:t>Tiu v. Platinum Plans Philippines, Inc. — G.R. No. 163512  (pars. 2669–2672)</w:t>
      </w:r>
    </w:p>
    <w:p>
      <w:pPr>
        <w:pStyle w:val="ListBullet"/>
      </w:pPr>
      <w:r>
        <w:rPr>
          <w:b w:val="0"/>
        </w:rPr>
        <w:t>Perez v. JP Morgan Chase Bank N.A.-Philippine Global Service Center — G.R. No. 256939  (pars. 2673–2679)</w:t>
      </w:r>
    </w:p>
    <w:p>
      <w:pPr>
        <w:pStyle w:val="ListBullet"/>
      </w:pPr>
      <w:r>
        <w:rPr>
          <w:b w:val="0"/>
        </w:rPr>
        <w:t>San Miguel Corp. Supervisors and Exempt Union v. Laguesma — G.R. No. 110399  (pars. 2686–2692)</w:t>
      </w:r>
    </w:p>
    <w:p>
      <w:pPr>
        <w:pStyle w:val="ListBullet"/>
      </w:pPr>
      <w:r>
        <w:rPr>
          <w:b w:val="0"/>
        </w:rPr>
        <w:t>Inguillo v. First Philippine Scales, Inc. — G.R. No. 165407  (pars. 2694–2701)</w:t>
      </w:r>
    </w:p>
    <w:p>
      <w:pPr>
        <w:pStyle w:val="ListBullet"/>
      </w:pPr>
      <w:r>
        <w:rPr>
          <w:b w:val="0"/>
        </w:rPr>
        <w:t>Asian Alcohol Corp. v. National Labor Relations Commission — G.R. No. 131108  (pars. 2713–2719)</w:t>
      </w:r>
    </w:p>
    <w:p>
      <w:pPr>
        <w:pStyle w:val="ListBullet"/>
      </w:pPr>
      <w:r>
        <w:rPr>
          <w:b w:val="0"/>
        </w:rPr>
        <w:t>Pulong v. Super Manufacturing, Inc. — G.R. No. 247819  (pars. 2725–2736)</w:t>
      </w:r>
    </w:p>
    <w:p>
      <w:pPr>
        <w:pStyle w:val="ListBullet"/>
      </w:pPr>
      <w:r>
        <w:rPr>
          <w:b w:val="0"/>
        </w:rPr>
        <w:t>D.M. Consunji, Inc. v. Court of Appeals — G.R. No. 137873  (pars. 2735–2739)</w:t>
      </w:r>
    </w:p>
    <w:p>
      <w:pPr>
        <w:pStyle w:val="ListBullet"/>
      </w:pPr>
      <w:r>
        <w:rPr>
          <w:b w:val="0"/>
        </w:rPr>
        <w:t>Elburg Shipmanagement Phils., Inc. v. Quiogue, Jr. — G.R. No. 211882  (pars. 2745–2752)</w:t>
      </w:r>
    </w:p>
    <w:p>
      <w:pPr>
        <w:pStyle w:val="ListBullet"/>
      </w:pPr>
      <w:r>
        <w:rPr>
          <w:b w:val="0"/>
        </w:rPr>
        <w:t>Vergara v. Hammonia Maritime Services, Inc. — G.R. No. 172933  (pars. 2745–2753)</w:t>
      </w:r>
    </w:p>
    <w:p>
      <w:pPr>
        <w:pStyle w:val="ListBullet"/>
      </w:pPr>
      <w:r>
        <w:rPr>
          <w:b w:val="0"/>
        </w:rPr>
        <w:t>Smart Communications, Inc. v. Astorga — G.R. No. 148132  (pars. 2760–2763)</w:t>
      </w:r>
    </w:p>
    <w:p>
      <w:pPr>
        <w:pStyle w:val="ListBullet"/>
      </w:pPr>
      <w:r>
        <w:rPr>
          <w:b w:val="0"/>
        </w:rPr>
        <w:t>Garcia v. Philippine Airlines, Inc. — G.R. No. 164856  (pars. 2767–2778)</w:t>
      </w:r>
    </w:p>
    <w:p>
      <w:pPr>
        <w:pStyle w:val="ListBullet"/>
      </w:pPr>
      <w:r>
        <w:rPr>
          <w:b w:val="0"/>
        </w:rPr>
        <w:t>Pioneer Texturizing Corp. v. National Labor Relations Commission — G.R. No. 118651  (pars. 2767–2778)</w:t>
      </w:r>
    </w:p>
    <w:p>
      <w:pPr>
        <w:pStyle w:val="ListBullet"/>
      </w:pPr>
      <w:r>
        <w:rPr>
          <w:b w:val="0"/>
        </w:rPr>
        <w:t>Francisco v. National Labor Relations Commission — G.R. No. 170087  (pars. 2796–2806)</w:t>
      </w:r>
    </w:p>
    <w:p>
      <w:pPr>
        <w:pStyle w:val="ListBullet"/>
      </w:pPr>
      <w:r>
        <w:rPr>
          <w:b w:val="0"/>
        </w:rPr>
        <w:t>Orozco v. Court of Appeals — G.R. No. 155207  (pars. 2807–2811)</w:t>
      </w:r>
    </w:p>
    <w:p>
      <w:pPr>
        <w:pStyle w:val="ListBullet"/>
      </w:pPr>
      <w:r>
        <w:rPr>
          <w:b w:val="0"/>
        </w:rPr>
        <w:t>Ang Tibay v. Court of Industrial Relations — G.R. No. 46496  (pars. 2812–2816)</w:t>
      </w:r>
    </w:p>
    <w:p>
      <w:pPr>
        <w:pStyle w:val="ListBullet"/>
      </w:pPr>
      <w:r>
        <w:rPr>
          <w:b w:val="0"/>
        </w:rPr>
        <w:t>Lopez v. Bodega City (Video-Disco Kitchen of the Philippines) — G.R. No. 155731  (pars. 2817–2833)</w:t>
      </w:r>
    </w:p>
    <w:p>
      <w:pPr>
        <w:pStyle w:val="ListBullet"/>
      </w:pPr>
      <w:r>
        <w:rPr>
          <w:b w:val="0"/>
        </w:rPr>
        <w:t>South East International Rattan, Inc. v. Coming — G.R. No. 186621  (pars. 2834–2843)</w:t>
      </w:r>
    </w:p>
    <w:p>
      <w:pPr>
        <w:pStyle w:val="ListBullet"/>
      </w:pPr>
      <w:r>
        <w:rPr>
          <w:b w:val="0"/>
        </w:rPr>
        <w:t>Great Pacific Life Assurance Corp. v. Judico — G.R. No. 73887  (pars. 2858–2867)</w:t>
      </w:r>
    </w:p>
    <w:p>
      <w:pPr>
        <w:pStyle w:val="ListBullet"/>
      </w:pPr>
      <w:r>
        <w:rPr>
          <w:b w:val="0"/>
        </w:rPr>
        <w:t>Insular Life Assurance Co., Ltd. v. NLRC — G.R. No. 119930  (pars. 2868–2877)</w:t>
      </w:r>
    </w:p>
    <w:p>
      <w:pPr>
        <w:pStyle w:val="ListBullet"/>
      </w:pPr>
      <w:r>
        <w:rPr>
          <w:b w:val="0"/>
        </w:rPr>
        <w:t>Tongko v. The Manufacturers Life Insurance Co. (Phils.), Inc. — G.R. No. 167622  (pars. 2879–2888)</w:t>
      </w:r>
    </w:p>
    <w:p>
      <w:pPr>
        <w:pStyle w:val="ListBullet"/>
      </w:pPr>
      <w:r>
        <w:rPr>
          <w:b w:val="0"/>
        </w:rPr>
        <w:t>National Labor Union v. Dinglasan — G.R. No. 7945  (pars. 2889–2898)</w:t>
      </w:r>
    </w:p>
    <w:p>
      <w:pPr>
        <w:pStyle w:val="ListBullet"/>
      </w:pPr>
      <w:r>
        <w:rPr>
          <w:b w:val="0"/>
        </w:rPr>
        <w:t>Villamaria, Jr. v. Court of Appeals — G.R. No. 165881  (pars. 2899–2905)</w:t>
      </w:r>
    </w:p>
    <w:p>
      <w:pPr>
        <w:pStyle w:val="ListBullet"/>
      </w:pPr>
      <w:r>
        <w:rPr>
          <w:b w:val="0"/>
        </w:rPr>
        <w:t>Upod v. Onon Trucking and Marketing Corporation — G.R. No. 248299  (pars. 2910–2919)</w:t>
      </w:r>
    </w:p>
    <w:p>
      <w:pPr>
        <w:pStyle w:val="ListBullet"/>
      </w:pPr>
      <w:r>
        <w:rPr>
          <w:b w:val="0"/>
        </w:rPr>
        <w:t>Sonza v. ABS-CBN Broadcasting Corp. — G.R. No. 138051  (pars. 2933–2937)</w:t>
      </w:r>
    </w:p>
    <w:p>
      <w:pPr>
        <w:pStyle w:val="ListBullet"/>
      </w:pPr>
      <w:r>
        <w:rPr>
          <w:b w:val="0"/>
        </w:rPr>
        <w:t>Dumpit-Murillo v. Court of Appeals — G.R. No. 164652  (pars. 2938–2947)</w:t>
      </w:r>
    </w:p>
    <w:p>
      <w:pPr>
        <w:pStyle w:val="ListBullet"/>
      </w:pPr>
      <w:r>
        <w:rPr>
          <w:b w:val="0"/>
        </w:rPr>
        <w:t>Fuji Television Network, Inc. v. Espiritu — G.R. No. 204944  (pars. 2948–2958)</w:t>
      </w:r>
    </w:p>
    <w:p>
      <w:pPr>
        <w:pStyle w:val="ListBullet"/>
      </w:pPr>
      <w:r>
        <w:rPr>
          <w:b w:val="0"/>
        </w:rPr>
        <w:t>Del Rosario v. ABS-CBN Broadcasting Corp. — G.R. No. 202481  (pars. 2959–2967)</w:t>
      </w:r>
    </w:p>
    <w:p>
      <w:pPr>
        <w:pStyle w:val="ListBullet"/>
      </w:pPr>
      <w:r>
        <w:rPr>
          <w:b w:val="0"/>
        </w:rPr>
        <w:t>Air Material Wing Savings and Loan Association, Inc. v. National Labor Relations Commission — G.R. No. 111870  (pars. 2977–2986)</w:t>
      </w:r>
    </w:p>
    <w:p>
      <w:pPr>
        <w:pStyle w:val="ListBullet"/>
      </w:pPr>
      <w:r>
        <w:rPr>
          <w:b w:val="0"/>
        </w:rPr>
        <w:t>Hydro Resources Contractors Corp. v. Pagalilauan — G.R. No. 62909  (pars. 2984–2988)</w:t>
      </w:r>
    </w:p>
    <w:p>
      <w:pPr>
        <w:pStyle w:val="ListBullet"/>
      </w:pPr>
      <w:r>
        <w:rPr>
          <w:b w:val="0"/>
        </w:rPr>
        <w:t>Calamba Medical Center, Inc. v. National Labor Relations Commission — G.R. No. 176484  (pars. 2997–3006)</w:t>
      </w:r>
    </w:p>
    <w:p>
      <w:pPr>
        <w:pStyle w:val="ListBullet"/>
      </w:pPr>
      <w:r>
        <w:rPr>
          <w:b w:val="0"/>
        </w:rPr>
        <w:t>Century Properties, Inc. v. Babiano — G.R. No. 220978  (pars. 3010–3020)</w:t>
      </w:r>
    </w:p>
    <w:p>
      <w:pPr>
        <w:pStyle w:val="ListBullet"/>
      </w:pPr>
      <w:r>
        <w:rPr>
          <w:b w:val="0"/>
        </w:rPr>
        <w:t>Portillo v. Rudolf Lietz, Inc. — G.R. No. 196539  (pars. 3011–3020)</w:t>
      </w:r>
    </w:p>
    <w:p>
      <w:pPr>
        <w:pStyle w:val="ListBullet"/>
      </w:pPr>
      <w:r>
        <w:rPr>
          <w:b w:val="0"/>
        </w:rPr>
        <w:t>Royale Homes Marketing Corporation v. Alcantara — G.R. No. 195190  (pars. 3022–3031)</w:t>
      </w:r>
    </w:p>
    <w:p>
      <w:pPr>
        <w:pStyle w:val="ListBullet"/>
      </w:pPr>
      <w:r>
        <w:rPr>
          <w:b w:val="0"/>
        </w:rPr>
        <w:t>Bernarte v. Philippine Basketball Association — G.R. No. 192084  (pars. 3036–3038)</w:t>
      </w:r>
    </w:p>
    <w:p>
      <w:pPr>
        <w:pStyle w:val="ListBullet"/>
      </w:pPr>
      <w:r>
        <w:rPr>
          <w:b w:val="0"/>
        </w:rPr>
        <w:t>Semblante v. Court of Appeals — G.R. No. 196426  (pars. 3041–3044)</w:t>
      </w:r>
    </w:p>
    <w:p>
      <w:pPr>
        <w:pStyle w:val="ListBullet"/>
      </w:pPr>
      <w:r>
        <w:rPr>
          <w:b w:val="0"/>
        </w:rPr>
        <w:t>David v. Macasio — G.R. No. 195466  (pars. 3043–3045)</w:t>
      </w:r>
    </w:p>
    <w:p>
      <w:pPr>
        <w:pStyle w:val="ListBullet"/>
      </w:pPr>
      <w:r>
        <w:rPr>
          <w:b w:val="0"/>
        </w:rPr>
        <w:t>Ruga v. National Labor Relations Commission — G.R. No. 72654  (pars. 3046–3050)</w:t>
      </w:r>
    </w:p>
    <w:p>
      <w:pPr>
        <w:pStyle w:val="ListBullet"/>
      </w:pPr>
      <w:r>
        <w:rPr>
          <w:b w:val="0"/>
        </w:rPr>
        <w:t>Yrasuegui v. Philippine Airlines — G.R. No. 168081  (pars. 3093–3093)</w:t>
      </w:r>
    </w:p>
    <w:p>
      <w:pPr>
        <w:pStyle w:val="ListBullet"/>
      </w:pPr>
      <w:r>
        <w:rPr>
          <w:b w:val="0"/>
        </w:rPr>
        <w:t>Peckson v. Robinsons Supermarket Corporation — G.R. No. 198534  (pars. 3107–3115)</w:t>
      </w:r>
    </w:p>
    <w:p>
      <w:pPr>
        <w:pStyle w:val="ListBullet"/>
      </w:pPr>
      <w:r>
        <w:rPr>
          <w:b w:val="0"/>
        </w:rPr>
        <w:t>Duncan Association of Detailman-PTGWO v. Glaxo Wellcome Philippines, Inc. — G.R. No. 162994  (pars. 3129–3138)</w:t>
      </w:r>
    </w:p>
    <w:p>
      <w:pPr>
        <w:pStyle w:val="ListBullet"/>
      </w:pPr>
      <w:r>
        <w:rPr>
          <w:b w:val="0"/>
        </w:rPr>
        <w:t>Aliling v. Feliciano — G.R. No. 185829  (pars. 3172–3181)</w:t>
      </w:r>
    </w:p>
    <w:p>
      <w:pPr>
        <w:pStyle w:val="ListBullet"/>
      </w:pPr>
      <w:r>
        <w:rPr>
          <w:b w:val="0"/>
        </w:rPr>
        <w:t>Nagkakaisang Lakas ng Manggagawa sa Keihin v. Keihin Philippines Corporation — G.R. No. 171115  (pars. 3197–3202)</w:t>
      </w:r>
    </w:p>
    <w:p>
      <w:pPr>
        <w:pStyle w:val="ListBullet"/>
      </w:pPr>
      <w:r>
        <w:rPr>
          <w:b w:val="0"/>
        </w:rPr>
        <w:t>Sagales v. Rustan's Commercial Corporation — G.R. No. 166554  (pars. 3204–3209)</w:t>
      </w:r>
    </w:p>
    <w:p>
      <w:pPr>
        <w:pStyle w:val="ListBullet"/>
      </w:pPr>
      <w:r>
        <w:rPr>
          <w:b w:val="0"/>
        </w:rPr>
        <w:t>BMG Records (Phils.), Inc. v. Aparecio — G.R. No. 153290  (pars. 3255–3261)</w:t>
      </w:r>
    </w:p>
    <w:p>
      <w:r>
        <w:rPr>
          <w:b/>
        </w:rPr>
        <w:t>LIST C — excluded as bare citations only (24 entries)</w:t>
      </w:r>
    </w:p>
    <w:p>
      <w:r>
        <w:rPr>
          <w:b w:val="0"/>
        </w:rPr>
        <w:t>Each of these is a case name and number with no proposition attached — an entry in a running "Jurisprudence:" list, a cross-reference, or a name inside a parenthetical. They were not analysed, as directed. Those among them that are untitled or undated remain live under Revision 3's Priority D.</w:t>
      </w:r>
    </w:p>
    <w:p>
      <w:pPr>
        <w:pStyle w:val="ListBullet"/>
      </w:pPr>
      <w:r>
        <w:rPr>
          <w:b w:val="0"/>
        </w:rPr>
        <w:t>(incomplete title) — G.R. No. 119386</w:t>
      </w:r>
    </w:p>
    <w:p>
      <w:pPr>
        <w:pStyle w:val="ListBullet"/>
      </w:pPr>
      <w:r>
        <w:rPr>
          <w:b w:val="0"/>
        </w:rPr>
        <w:t>(incomplete title) — G.R. No. 221043</w:t>
      </w:r>
    </w:p>
    <w:p>
      <w:pPr>
        <w:pStyle w:val="ListBullet"/>
      </w:pPr>
      <w:r>
        <w:rPr>
          <w:b w:val="0"/>
        </w:rPr>
        <w:t>(incomplete title) — G.R. No. 223141</w:t>
      </w:r>
    </w:p>
    <w:p>
      <w:pPr>
        <w:pStyle w:val="ListBullet"/>
      </w:pPr>
      <w:r>
        <w:rPr>
          <w:b w:val="0"/>
        </w:rPr>
        <w:t>(incomplete title) — G.R. No. 229386</w:t>
      </w:r>
    </w:p>
    <w:p>
      <w:pPr>
        <w:pStyle w:val="ListBullet"/>
      </w:pPr>
      <w:r>
        <w:rPr>
          <w:b w:val="0"/>
        </w:rPr>
        <w:t>(incomplete title) — G.R. No. 245122</w:t>
      </w:r>
    </w:p>
    <w:p>
      <w:pPr>
        <w:pStyle w:val="ListBullet"/>
      </w:pPr>
      <w:r>
        <w:rPr>
          <w:b w:val="0"/>
        </w:rPr>
        <w:t>(incomplete title) — G.R. No. 258481</w:t>
      </w:r>
    </w:p>
    <w:p>
      <w:pPr>
        <w:pStyle w:val="ListBullet"/>
      </w:pPr>
      <w:r>
        <w:rPr>
          <w:b w:val="0"/>
        </w:rPr>
        <w:t>(incomplete title) — G.R. No. 276186</w:t>
      </w:r>
    </w:p>
    <w:p>
      <w:pPr>
        <w:pStyle w:val="ListBullet"/>
      </w:pPr>
      <w:r>
        <w:rPr>
          <w:b w:val="0"/>
        </w:rPr>
        <w:t>(incomplete title) — G.R. No. 52753</w:t>
      </w:r>
    </w:p>
    <w:p>
      <w:pPr>
        <w:pStyle w:val="ListBullet"/>
      </w:pPr>
      <w:r>
        <w:rPr>
          <w:b w:val="0"/>
        </w:rPr>
        <w:t>(incomplete title) — G.R. No. 221040</w:t>
      </w:r>
    </w:p>
    <w:p>
      <w:pPr>
        <w:pStyle w:val="ListBullet"/>
      </w:pPr>
      <w:r>
        <w:rPr>
          <w:b w:val="0"/>
        </w:rPr>
        <w:t>(incomplete title) — G.R. No. 260447</w:t>
      </w:r>
    </w:p>
    <w:p>
      <w:pPr>
        <w:pStyle w:val="ListBullet"/>
      </w:pPr>
      <w:r>
        <w:rPr>
          <w:b w:val="0"/>
        </w:rPr>
        <w:t>Ambassador Hotel, Inc. v. SSS — G.R. No. 194137</w:t>
      </w:r>
    </w:p>
    <w:p>
      <w:pPr>
        <w:pStyle w:val="ListBullet"/>
      </w:pPr>
      <w:r>
        <w:rPr>
          <w:b w:val="0"/>
        </w:rPr>
        <w:t>Guerrero v. Philippine Transmarine Carriers, Inc. (cross-reference; see D6) — G.R. No. 222523</w:t>
      </w:r>
    </w:p>
    <w:p>
      <w:pPr>
        <w:pStyle w:val="ListBullet"/>
      </w:pPr>
      <w:r>
        <w:rPr>
          <w:b w:val="0"/>
        </w:rPr>
        <w:t>Arica v. NLRC — G.R. No. 78210</w:t>
      </w:r>
    </w:p>
    <w:p>
      <w:pPr>
        <w:pStyle w:val="ListBullet"/>
      </w:pPr>
      <w:r>
        <w:rPr>
          <w:b w:val="0"/>
        </w:rPr>
        <w:t>Boie-Takeda Chemicals v. De la Serna — G.R. No. 92174</w:t>
      </w:r>
    </w:p>
    <w:p>
      <w:pPr>
        <w:pStyle w:val="ListBullet"/>
      </w:pPr>
      <w:r>
        <w:rPr>
          <w:b w:val="0"/>
        </w:rPr>
        <w:t>Central Azucarera de Tarlac v. Central Azucarera de Tarlac Labor Union-NLU — G.R. No. 188949</w:t>
      </w:r>
    </w:p>
    <w:p>
      <w:pPr>
        <w:pStyle w:val="ListBullet"/>
      </w:pPr>
      <w:r>
        <w:rPr>
          <w:b w:val="0"/>
        </w:rPr>
        <w:t>Del Monte Land Transport Bus Co. v. Armenta — G.R. No. 240144</w:t>
      </w:r>
    </w:p>
    <w:p>
      <w:pPr>
        <w:pStyle w:val="ListBullet"/>
      </w:pPr>
      <w:r>
        <w:rPr>
          <w:b w:val="0"/>
        </w:rPr>
        <w:t>Government Service Insurance System v. Palmieri — G.R. No. 217949</w:t>
      </w:r>
    </w:p>
    <w:p>
      <w:pPr>
        <w:pStyle w:val="ListBullet"/>
      </w:pPr>
      <w:r>
        <w:rPr>
          <w:b w:val="0"/>
        </w:rPr>
        <w:t>Lorenzo v. GSIS — G.R. No. 188385</w:t>
      </w:r>
    </w:p>
    <w:p>
      <w:pPr>
        <w:pStyle w:val="ListBullet"/>
      </w:pPr>
      <w:r>
        <w:rPr>
          <w:b w:val="0"/>
        </w:rPr>
        <w:t>Norkis Trading Co., Inc. v. Buenavista — G.R. No. 182018</w:t>
      </w:r>
    </w:p>
    <w:p>
      <w:pPr>
        <w:pStyle w:val="ListBullet"/>
      </w:pPr>
      <w:r>
        <w:rPr>
          <w:b w:val="0"/>
        </w:rPr>
        <w:t>People’s Broadcasting Service v. Secretary of Labor — G.R. No. 179652</w:t>
      </w:r>
    </w:p>
    <w:p>
      <w:pPr>
        <w:pStyle w:val="ListBullet"/>
      </w:pPr>
      <w:r>
        <w:rPr>
          <w:b w:val="0"/>
        </w:rPr>
        <w:t>SSC v. Azote — G.R. No. 209741</w:t>
      </w:r>
    </w:p>
    <w:p>
      <w:pPr>
        <w:pStyle w:val="ListBullet"/>
      </w:pPr>
      <w:r>
        <w:rPr>
          <w:b w:val="0"/>
        </w:rPr>
        <w:t>SSS v. Aguas — G.R. No. 165546</w:t>
      </w:r>
    </w:p>
    <w:p>
      <w:pPr>
        <w:pStyle w:val="ListBullet"/>
      </w:pPr>
      <w:r>
        <w:rPr>
          <w:b w:val="0"/>
        </w:rPr>
        <w:t>TSPIC Corp. v. TSPIC Employees Union — G.R. No. 163419</w:t>
      </w:r>
    </w:p>
    <w:p>
      <w:pPr>
        <w:pStyle w:val="ListBullet"/>
      </w:pPr>
      <w:r>
        <w:rPr>
          <w:b w:val="0"/>
        </w:rPr>
        <w:t>Wesleyan University-Philippines v. Wesleyan University-Philippines Faculty and Staff Association — G.R. No. 181806</w:t>
      </w:r>
    </w:p>
    <w:p>
      <w:r>
        <w:rPr>
          <w:b w:val="0"/>
        </w:rPr>
        <w:t>Excluded separately as a duplicate: G.R. Nos. 182978-79 (par. 468) is Sto. Tomas v. Salac, audited in this pass under G.R. No. 152642 at pars. 463–469.</w:t>
      </w:r>
    </w:p>
    <w:p>
      <w:r>
        <w:rPr>
          <w:b w:val="0"/>
        </w:rPr>
        <w:t>____________________________________________________________________________________________</w:t>
      </w:r>
    </w:p>
    <w:p>
      <w:r>
        <w:rPr>
          <w:b w:val="0"/>
        </w:rPr>
        <w:t>End of revision 4 — 2 confirmed errors, 7 doubtful entries, 4 attribution problems, 2 further incomplete citations.  135 of the 160 previously unverified entries examined; 24 excluded as bare citations and 1 as a duplicate; 17 confirmed against the reported decision; 118 examined but not confirmed against the decision, because no full text could be opened in this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