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Paragraph"/>
        <w:keepNext/>
        <w:spacing w:line="240" w:lineRule="auto" w:after="160"/>
        <w:jc w:val="left"/>
      </w:pPr>
      <w:r>
        <w:rPr>
          <w:rFonts w:ascii="Times New Roman" w:hAnsi="Times New Roman" w:eastAsia="Times New Roman"/>
          <w:b/>
          <w:sz w:val="28"/>
        </w:rPr>
        <w:t>AKG-BASED HOUSEHOLD CALORIE DEFICIT CLASSIFICATION IN WEST JAVA USING LOGISTIC-WOE AND XGBOOST</w:t>
      </w:r>
    </w:p>
    <w:p>
      <w:pPr>
        <w:pStyle w:val="Paragraph"/>
        <w:keepNext/>
        <w:spacing w:line="240" w:lineRule="auto" w:after="0"/>
      </w:pPr>
      <w:r>
        <w:rPr>
          <w:rFonts w:ascii="Times New Roman" w:hAnsi="Times New Roman" w:eastAsia="Times New Roman"/>
          <w:b/>
          <w:sz w:val="24"/>
          <w:highlight w:val="yellow"/>
        </w:rPr>
        <w:t>[Insert 2–3 student authors in agreed order; add lecturer/assistant only after approval and as required for publication.]</w:t>
      </w:r>
    </w:p>
    <w:p>
      <w:pPr>
        <w:pStyle w:val="Paragraph"/>
        <w:keepNext/>
        <w:spacing w:line="240" w:lineRule="auto" w:after="0"/>
      </w:pPr>
      <w:r>
        <w:rPr>
          <w:rFonts w:ascii="Times New Roman" w:hAnsi="Times New Roman" w:eastAsia="Times New Roman"/>
          <w:i/>
          <w:sz w:val="20"/>
          <w:highlight w:val="yellow"/>
        </w:rPr>
        <w:t>[Department, Faculty/School, University, City, Postal Code, Country]</w:t>
      </w:r>
    </w:p>
    <w:p>
      <w:pPr>
        <w:pStyle w:val="Paragraph"/>
        <w:keepNext/>
        <w:spacing w:line="240" w:lineRule="auto" w:after="0"/>
      </w:pPr>
      <w:r>
        <w:rPr>
          <w:rFonts w:ascii="Times New Roman" w:hAnsi="Times New Roman" w:eastAsia="Times New Roman"/>
          <w:i/>
          <w:sz w:val="20"/>
          <w:highlight w:val="yellow"/>
        </w:rPr>
        <w:t>Corresponding author’s e-mail: [insert corresponding author email]</w:t>
      </w:r>
    </w:p>
    <w:p>
      <w:pPr>
        <w:pStyle w:val="Paragraph"/>
        <w:spacing w:line="240" w:lineRule="auto" w:after="0"/>
      </w:pPr>
      <w:r>
        <w:rPr>
          <w:rFonts w:ascii="Times New Roman" w:hAnsi="Times New Roman" w:eastAsia="Times New Roman"/>
          <w:i/>
          <w:sz w:val="18"/>
          <w:highlight w:val="yellow"/>
        </w:rPr>
        <w:t>[WORKING DRAFT: complete highlighted items, resolve the target definition, and remove this note before submission.]</w:t>
      </w:r>
    </w:p>
    <w:tbl>
      <w:tblPr>
        <w:tblStyle w:val="TableGrid"/>
        <w:tblW w:type="auto" w:w="0"/>
        <w:tblLayout w:type="fixed"/>
        <w:tblLook w:firstColumn="1" w:firstRow="1" w:lastColumn="0" w:lastRow="0" w:noHBand="0" w:noVBand="1" w:val="04A0"/>
        <w:tblBorders>
          <w:top w:val="single" w:sz="5" w:color="777777"/>
          <w:left w:val="nil"/>
          <w:bottom w:val="single" w:sz="5" w:color="777777"/>
          <w:right w:val="nil"/>
          <w:insideH w:val="single" w:sz="5" w:color="777777"/>
          <w:insideV w:val="nil"/>
        </w:tblBorders>
      </w:tblPr>
      <w:tblGrid>
        <w:gridCol w:w="2232"/>
        <w:gridCol w:w="7344"/>
      </w:tblGrid>
      <w:tr>
        <w:tc>
          <w:tcPr>
            <w:tcW w:type="dxa" w:w="2232"/>
            <w:vAlign w:val="center"/>
            <w:shd w:fill="E8EEF5"/>
          </w:tcPr>
          <w:p>
            <w:pPr>
              <w:spacing w:line="240" w:lineRule="auto" w:after="0"/>
            </w:pPr>
            <w:r/>
            <w:r>
              <w:rPr>
                <w:rFonts w:ascii="Times New Roman" w:hAnsi="Times New Roman" w:eastAsia="Times New Roman"/>
                <w:b/>
                <w:i w:val="0"/>
                <w:sz w:val="18"/>
              </w:rPr>
              <w:t>ARTICLE HISTORY</w:t>
            </w:r>
          </w:p>
        </w:tc>
        <w:tc>
          <w:tcPr>
            <w:tcW w:type="dxa" w:w="7344"/>
            <w:vAlign w:val="center"/>
            <w:shd w:fill="E8EEF5"/>
          </w:tcPr>
          <w:p>
            <w:pPr>
              <w:spacing w:line="240" w:lineRule="auto" w:after="0"/>
            </w:pPr>
            <w:r/>
            <w:r>
              <w:rPr>
                <w:rFonts w:ascii="Times New Roman" w:hAnsi="Times New Roman" w:eastAsia="Times New Roman"/>
                <w:b/>
                <w:i/>
                <w:sz w:val="18"/>
              </w:rPr>
              <w:t>ABSTRACT</w:t>
            </w:r>
          </w:p>
        </w:tc>
      </w:tr>
      <w:tr>
        <w:tc>
          <w:tcPr>
            <w:tcW w:type="dxa" w:w="2232"/>
            <w:vAlign w:val="center"/>
          </w:tcPr>
          <w:p>
            <w:pPr>
              <w:spacing w:line="240" w:lineRule="auto" w:after="0"/>
            </w:pPr>
            <w:r/>
            <w:r>
              <w:rPr>
                <w:rFonts w:ascii="Times New Roman" w:hAnsi="Times New Roman" w:eastAsia="Times New Roman"/>
                <w:b w:val="0"/>
                <w:i/>
                <w:sz w:val="18"/>
                <w:highlight w:val="yellow"/>
              </w:rPr>
              <w:t>[Editorial office: received / revised / accepted / published dates, if requested.]</w:t>
            </w:r>
          </w:p>
        </w:tc>
        <w:tc>
          <w:tcPr>
            <w:tcW w:type="dxa" w:w="7344"/>
            <w:vAlign w:val="center"/>
          </w:tcPr>
          <w:p>
            <w:pPr>
              <w:spacing w:line="240" w:lineRule="auto" w:after="0"/>
            </w:pPr>
            <w:r/>
            <w:r>
              <w:rPr>
                <w:rFonts w:ascii="Times New Roman" w:hAnsi="Times New Roman" w:eastAsia="Times New Roman"/>
                <w:b w:val="0"/>
                <w:i w:val="0"/>
                <w:sz w:val="18"/>
                <w:highlight w:val="yellow"/>
              </w:rPr>
              <w:t>[Write an English abstract of no more than 300 words after analysis is complete. Briefly state the context and research gap, objective, Susenas March 2024 data and final analytic sample, validated AKG-based outcome definition, methods, principal test-set results, implications, limitations, and contribution. Do not invent results.]</w:t>
            </w:r>
          </w:p>
        </w:tc>
      </w:tr>
      <w:tr>
        <w:tc>
          <w:tcPr>
            <w:tcW w:type="dxa" w:w="2232"/>
            <w:vAlign w:val="center"/>
          </w:tcPr>
          <w:p>
            <w:pPr>
              <w:spacing w:line="240" w:lineRule="auto" w:after="0"/>
            </w:pPr>
            <w:r/>
            <w:r>
              <w:rPr>
                <w:rFonts w:ascii="Times New Roman" w:hAnsi="Times New Roman" w:eastAsia="Times New Roman"/>
                <w:b/>
                <w:i w:val="0"/>
                <w:sz w:val="18"/>
              </w:rPr>
              <w:t>KEYWORDS</w:t>
            </w:r>
          </w:p>
        </w:tc>
        <w:tc>
          <w:tcPr>
            <w:tcW w:type="dxa" w:w="7344"/>
            <w:vAlign w:val="center"/>
          </w:tcPr>
          <w:p>
            <w:pPr>
              <w:spacing w:line="240" w:lineRule="auto" w:after="0"/>
            </w:pPr>
            <w:r/>
            <w:r>
              <w:rPr>
                <w:rFonts w:ascii="Times New Roman" w:hAnsi="Times New Roman" w:eastAsia="Times New Roman"/>
                <w:b w:val="0"/>
                <w:i w:val="0"/>
                <w:sz w:val="18"/>
                <w:highlight w:val="yellow"/>
              </w:rPr>
              <w:t>[Insert 3–5 alphabetized keywords/phrases separated by semicolons; confirm the journal's exact rule.]</w:t>
            </w:r>
          </w:p>
        </w:tc>
      </w:tr>
    </w:tbl>
    <w:p>
      <w:pPr>
        <w:pStyle w:val="Paragraph"/>
        <w:spacing w:line="240" w:lineRule="auto" w:after="0"/>
      </w:pPr>
    </w:p>
    <w:p>
      <w:pPr>
        <w:pStyle w:val="Heading1"/>
        <w:keepNext/>
      </w:pPr>
      <w:r>
        <w:t>Introduction</w:t>
      </w:r>
    </w:p>
    <w:p>
      <w:pPr>
        <w:pStyle w:val="Paragraph"/>
        <w:spacing w:line="240" w:lineRule="auto" w:after="0"/>
      </w:pPr>
      <w:r>
        <w:rPr>
          <w:rFonts w:ascii="Times New Roman" w:hAnsi="Times New Roman" w:eastAsia="Times New Roman"/>
        </w:rPr>
        <w:t>Household energy adequacy is related to both the amount of food energy consumed and the energy requirements of household members. A single per-capita benchmark may not represent differences in age, sex, and household composition. The study will therefore assess household energy adequacy against individual requirements aggregated to the household level. [Cite authoritative sources for energy adequacy and the applicable Indonesian AKG standard.]</w:t>
      </w:r>
    </w:p>
    <w:p>
      <w:pPr>
        <w:pStyle w:val="Paragraph"/>
        <w:spacing w:line="240" w:lineRule="auto" w:after="0"/>
      </w:pPr>
      <w:r>
        <w:rPr>
          <w:rFonts w:ascii="Times New Roman" w:hAnsi="Times New Roman" w:eastAsia="Times New Roman"/>
        </w:rPr>
        <w:t>Household characteristics, socioeconomic conditions, education of the household head, employment, housing, and expenditure patterns may be associated with food and energy adequacy. Prior studies have examined food consumption, hunger indicators, and socioeconomic conditions, but the relevance and gap for the present population and classification task must be established through a focused review of recent literature. [Synthesize at least 2–3 relevant studies and cite them using the confirmed journal citation style.]</w:t>
      </w:r>
    </w:p>
    <w:p>
      <w:pPr>
        <w:pStyle w:val="Paragraph"/>
        <w:spacing w:line="240" w:lineRule="auto" w:after="0"/>
      </w:pPr>
      <w:r>
        <w:rPr>
          <w:rFonts w:ascii="Times New Roman" w:hAnsi="Times New Roman" w:eastAsia="Times New Roman"/>
        </w:rPr>
        <w:t xml:space="preserve">This study uses Susenas March 2024 data for West Java to classify household calorie deficit using an interpretable logistic-WOE approach and XGBoost. It aims to (i) define and describe household energy deficit using an explicitly validated AKG-based outcome, (ii) compare the predictive performance of the two approaches under the same validation design, and (iii) identify influential predictors without using variables that directly reveal the outcome. [Revise the stated gap and contribution after reviewing the literature and confirming the final outcome definition.] </w:t>
      </w:r>
    </w:p>
    <w:p>
      <w:pPr>
        <w:pStyle w:val="Paragraph"/>
        <w:spacing w:line="240" w:lineRule="auto" w:after="0"/>
      </w:pPr>
      <w:r>
        <w:rPr>
          <w:rFonts w:ascii="Times New Roman" w:hAnsi="Times New Roman" w:eastAsia="Times New Roman"/>
        </w:rPr>
        <w:t>The research questions are: (1) What proportion of analyzed households meet the final definition of calorie deficit? (2) How do logistic-WOE and XGBoost compare on held-out data? (3) Which household characteristics contribute most to prediction, and are the patterns consistent across models?</w:t>
      </w:r>
    </w:p>
    <w:p>
      <w:pPr>
        <w:pStyle w:val="Heading1"/>
        <w:keepNext/>
        <w:pageBreakBefore/>
      </w:pPr>
      <w:r>
        <w:t>2. Methods</w:t>
      </w:r>
    </w:p>
    <w:p>
      <w:pPr>
        <w:pStyle w:val="Heading2"/>
        <w:keepNext/>
      </w:pPr>
      <w:r>
        <w:t>2.1. Materials and Data</w:t>
      </w:r>
    </w:p>
    <w:p>
      <w:pPr>
        <w:pStyle w:val="Paragraph"/>
        <w:spacing w:line="240" w:lineRule="auto" w:after="0"/>
      </w:pPr>
      <w:r>
        <w:rPr>
          <w:rFonts w:ascii="Times New Roman" w:hAnsi="Times New Roman" w:eastAsia="Times New Roman"/>
        </w:rPr>
        <w:t xml:space="preserve">The analysis uses Susenas March 2024 data for West Java: the household and individual KOR files and the March Consumption and Expenditure (KP) module. The planned sources include KOR household (RT), KOR individual files (ind1 and ind2), and KP Blocks 41 and 43; KP September 2024 data will not be combined with the March 2024 KOR data. The household is the unit of analysis. The prepared household-level source data contain 26,012 households; the final analytic sample will be reported after applying eligibility rules and resolving missing or invalid records. [Recheck counts against the final reproducible analysis.] </w:t>
      </w:r>
    </w:p>
    <w:p>
      <w:pPr>
        <w:pStyle w:val="Paragraph"/>
        <w:spacing w:line="240" w:lineRule="auto" w:after="0"/>
      </w:pPr>
      <w:r>
        <w:rPr>
          <w:rFonts w:ascii="Times New Roman" w:hAnsi="Times New Roman" w:eastAsia="Times New Roman"/>
        </w:rPr>
        <w:t xml:space="preserve">Household records are linked using URUT; individual records are linked using URUT and R401 before aggregation. Verify join uniqueness and reconcile the number of household members with R301. The initial merge and consistency checks are documented in the project data-preparation workflow. [Cite the official Susenas documentation and describe the exact files and variables retained.] </w:t>
      </w:r>
      <w:r>
        <w:t xml:space="preserve"> Planned construct groups and candidate indicators are summarized in Table 1.</w:t>
      </w:r>
    </w:p>
    <w:p>
      <w:pPr>
        <w:pStyle w:val="TableCaption"/>
        <w:keepNext/>
        <w:spacing w:before="120" w:after="60"/>
        <w:jc w:val="center"/>
      </w:pPr>
      <w:r>
        <w:rPr>
          <w:rFonts w:ascii="Times New Roman" w:hAnsi="Times New Roman" w:eastAsia="Times New Roman"/>
          <w:b/>
          <w:sz w:val="20"/>
        </w:rPr>
        <w:t>Table 1. Planned constructs, indicators, and candidate data sources</w:t>
      </w:r>
    </w:p>
    <w:tbl>
      <w:tblPr>
        <w:tblStyle w:val="TableGrid"/>
        <w:tblW w:type="auto" w:w="0"/>
        <w:tblLayout w:type="fixed"/>
        <w:tblLook w:firstColumn="1" w:firstRow="1" w:lastColumn="0" w:lastRow="0" w:noHBand="0" w:noVBand="1" w:val="04A0"/>
        <w:tblBorders>
          <w:top w:val="single" w:sz="5" w:color="777777"/>
          <w:left w:val="nil"/>
          <w:bottom w:val="single" w:sz="5" w:color="777777"/>
          <w:right w:val="nil"/>
          <w:insideH w:val="single" w:sz="5" w:color="777777"/>
          <w:insideV w:val="nil"/>
        </w:tblBorders>
      </w:tblPr>
      <w:tblGrid>
        <w:gridCol w:w="3024"/>
        <w:gridCol w:w="3024"/>
        <w:gridCol w:w="3024"/>
      </w:tblGrid>
      <w:tr>
        <w:tc>
          <w:tcPr>
            <w:tcW w:type="dxa" w:w="1800"/>
            <w:vAlign w:val="center"/>
            <w:shd w:fill="E8EEF5"/>
          </w:tcPr>
          <w:p>
            <w:pPr>
              <w:spacing w:line="240" w:lineRule="auto" w:after="0"/>
            </w:pPr>
            <w:r/>
            <w:r>
              <w:rPr>
                <w:rFonts w:ascii="Times New Roman" w:hAnsi="Times New Roman" w:eastAsia="Times New Roman"/>
                <w:b/>
                <w:i w:val="0"/>
                <w:sz w:val="16"/>
              </w:rPr>
              <w:t>Construct</w:t>
            </w:r>
          </w:p>
        </w:tc>
        <w:tc>
          <w:tcPr>
            <w:tcW w:type="dxa" w:w="5040"/>
            <w:vAlign w:val="center"/>
            <w:shd w:fill="E8EEF5"/>
          </w:tcPr>
          <w:p>
            <w:pPr>
              <w:spacing w:line="240" w:lineRule="auto" w:after="0"/>
            </w:pPr>
            <w:r/>
            <w:r>
              <w:rPr>
                <w:rFonts w:ascii="Times New Roman" w:hAnsi="Times New Roman" w:eastAsia="Times New Roman"/>
                <w:b/>
                <w:i w:val="0"/>
                <w:sz w:val="16"/>
              </w:rPr>
              <w:t>Planned indicators (to finalize)</w:t>
            </w:r>
          </w:p>
        </w:tc>
        <w:tc>
          <w:tcPr>
            <w:tcW w:type="dxa" w:w="2736"/>
            <w:vAlign w:val="center"/>
            <w:shd w:fill="E8EEF5"/>
          </w:tcPr>
          <w:p>
            <w:pPr>
              <w:spacing w:line="240" w:lineRule="auto" w:after="0"/>
            </w:pPr>
            <w:r/>
            <w:r>
              <w:rPr>
                <w:rFonts w:ascii="Times New Roman" w:hAnsi="Times New Roman" w:eastAsia="Times New Roman"/>
                <w:b/>
                <w:i w:val="0"/>
                <w:sz w:val="16"/>
              </w:rPr>
              <w:t>Source / level</w:t>
            </w:r>
          </w:p>
        </w:tc>
      </w:tr>
      <w:tr>
        <w:tc>
          <w:tcPr>
            <w:tcW w:type="dxa" w:w="1800"/>
            <w:vAlign w:val="center"/>
          </w:tcPr>
          <w:p>
            <w:pPr>
              <w:spacing w:line="240" w:lineRule="auto" w:after="0"/>
            </w:pPr>
            <w:r/>
            <w:r>
              <w:rPr>
                <w:rFonts w:ascii="Times New Roman" w:hAnsi="Times New Roman" w:eastAsia="Times New Roman"/>
                <w:b w:val="0"/>
                <w:i w:val="0"/>
                <w:sz w:val="16"/>
              </w:rPr>
              <w:t>Outcome</w:t>
            </w:r>
          </w:p>
        </w:tc>
        <w:tc>
          <w:tcPr>
            <w:tcW w:type="dxa" w:w="5040"/>
            <w:vAlign w:val="center"/>
          </w:tcPr>
          <w:p>
            <w:pPr>
              <w:spacing w:line="240" w:lineRule="auto" w:after="0"/>
            </w:pPr>
            <w:r/>
            <w:r>
              <w:rPr>
                <w:rFonts w:ascii="Times New Roman" w:hAnsi="Times New Roman" w:eastAsia="Times New Roman"/>
                <w:b w:val="0"/>
                <w:i w:val="0"/>
                <w:sz w:val="16"/>
              </w:rPr>
              <w:t>Household energy adequacy ratio and binary deficit label; final cut-off is pending confirmation</w:t>
            </w:r>
          </w:p>
        </w:tc>
        <w:tc>
          <w:tcPr>
            <w:tcW w:type="dxa" w:w="2736"/>
            <w:vAlign w:val="center"/>
          </w:tcPr>
          <w:p>
            <w:pPr>
              <w:spacing w:line="240" w:lineRule="auto" w:after="0"/>
            </w:pPr>
            <w:r/>
            <w:r>
              <w:rPr>
                <w:rFonts w:ascii="Times New Roman" w:hAnsi="Times New Roman" w:eastAsia="Times New Roman"/>
                <w:b w:val="0"/>
                <w:i w:val="0"/>
                <w:sz w:val="16"/>
              </w:rPr>
              <w:t>KP Block 43 + individual KOR / household</w:t>
            </w:r>
          </w:p>
        </w:tc>
      </w:tr>
      <w:tr>
        <w:tc>
          <w:tcPr>
            <w:tcW w:type="dxa" w:w="1800"/>
            <w:vAlign w:val="center"/>
          </w:tcPr>
          <w:p>
            <w:pPr>
              <w:spacing w:line="240" w:lineRule="auto" w:after="0"/>
            </w:pPr>
            <w:r/>
            <w:r>
              <w:rPr>
                <w:rFonts w:ascii="Times New Roman" w:hAnsi="Times New Roman" w:eastAsia="Times New Roman"/>
                <w:b w:val="0"/>
                <w:i w:val="0"/>
                <w:sz w:val="16"/>
              </w:rPr>
              <w:t>Household composition</w:t>
            </w:r>
          </w:p>
        </w:tc>
        <w:tc>
          <w:tcPr>
            <w:tcW w:type="dxa" w:w="5040"/>
            <w:vAlign w:val="center"/>
          </w:tcPr>
          <w:p>
            <w:pPr>
              <w:spacing w:line="240" w:lineRule="auto" w:after="0"/>
            </w:pPr>
            <w:r/>
            <w:r>
              <w:rPr>
                <w:rFonts w:ascii="Times New Roman" w:hAnsi="Times New Roman" w:eastAsia="Times New Roman"/>
                <w:b w:val="0"/>
                <w:i w:val="0"/>
                <w:sz w:val="16"/>
              </w:rPr>
              <w:t>Number of household members; counts of young children, school-age members, and older members</w:t>
            </w:r>
          </w:p>
        </w:tc>
        <w:tc>
          <w:tcPr>
            <w:tcW w:type="dxa" w:w="2736"/>
            <w:vAlign w:val="center"/>
          </w:tcPr>
          <w:p>
            <w:pPr>
              <w:spacing w:line="240" w:lineRule="auto" w:after="0"/>
            </w:pPr>
            <w:r/>
            <w:r>
              <w:rPr>
                <w:rFonts w:ascii="Times New Roman" w:hAnsi="Times New Roman" w:eastAsia="Times New Roman"/>
                <w:b w:val="0"/>
                <w:i w:val="0"/>
                <w:sz w:val="16"/>
              </w:rPr>
              <w:t>KOR individual aggregated by URUT / household</w:t>
            </w:r>
          </w:p>
        </w:tc>
      </w:tr>
      <w:tr>
        <w:tc>
          <w:tcPr>
            <w:tcW w:type="dxa" w:w="1800"/>
            <w:vAlign w:val="center"/>
          </w:tcPr>
          <w:p>
            <w:pPr>
              <w:spacing w:line="240" w:lineRule="auto" w:after="0"/>
            </w:pPr>
            <w:r/>
            <w:r>
              <w:rPr>
                <w:rFonts w:ascii="Times New Roman" w:hAnsi="Times New Roman" w:eastAsia="Times New Roman"/>
                <w:b w:val="0"/>
                <w:i w:val="0"/>
                <w:sz w:val="16"/>
              </w:rPr>
              <w:t>Household-head and employment</w:t>
            </w:r>
          </w:p>
        </w:tc>
        <w:tc>
          <w:tcPr>
            <w:tcW w:type="dxa" w:w="5040"/>
            <w:vAlign w:val="center"/>
          </w:tcPr>
          <w:p>
            <w:pPr>
              <w:spacing w:line="240" w:lineRule="auto" w:after="0"/>
            </w:pPr>
            <w:r/>
            <w:r>
              <w:rPr>
                <w:rFonts w:ascii="Times New Roman" w:hAnsi="Times New Roman" w:eastAsia="Times New Roman"/>
                <w:b w:val="0"/>
                <w:i w:val="0"/>
                <w:sz w:val="16"/>
              </w:rPr>
              <w:t>Sex, age, education, employment status of household head; whether any member is working</w:t>
            </w:r>
          </w:p>
        </w:tc>
        <w:tc>
          <w:tcPr>
            <w:tcW w:type="dxa" w:w="2736"/>
            <w:vAlign w:val="center"/>
          </w:tcPr>
          <w:p>
            <w:pPr>
              <w:spacing w:line="240" w:lineRule="auto" w:after="0"/>
            </w:pPr>
            <w:r/>
            <w:r>
              <w:rPr>
                <w:rFonts w:ascii="Times New Roman" w:hAnsi="Times New Roman" w:eastAsia="Times New Roman"/>
                <w:b w:val="0"/>
                <w:i w:val="0"/>
                <w:sz w:val="16"/>
              </w:rPr>
              <w:t>KOR individual / household aggregate</w:t>
            </w:r>
          </w:p>
        </w:tc>
      </w:tr>
      <w:tr>
        <w:tc>
          <w:tcPr>
            <w:tcW w:type="dxa" w:w="1800"/>
            <w:vAlign w:val="center"/>
          </w:tcPr>
          <w:p>
            <w:pPr>
              <w:spacing w:line="240" w:lineRule="auto" w:after="0"/>
            </w:pPr>
            <w:r/>
            <w:r>
              <w:rPr>
                <w:rFonts w:ascii="Times New Roman" w:hAnsi="Times New Roman" w:eastAsia="Times New Roman"/>
                <w:b w:val="0"/>
                <w:i w:val="0"/>
                <w:sz w:val="16"/>
              </w:rPr>
              <w:t>Socioeconomic and housing</w:t>
            </w:r>
          </w:p>
        </w:tc>
        <w:tc>
          <w:tcPr>
            <w:tcW w:type="dxa" w:w="5040"/>
            <w:vAlign w:val="center"/>
          </w:tcPr>
          <w:p>
            <w:pPr>
              <w:spacing w:line="240" w:lineRule="auto" w:after="0"/>
            </w:pPr>
            <w:r/>
            <w:r>
              <w:rPr>
                <w:rFonts w:ascii="Times New Roman" w:hAnsi="Times New Roman" w:eastAsia="Times New Roman"/>
                <w:b w:val="0"/>
                <w:i w:val="0"/>
                <w:sz w:val="16"/>
              </w:rPr>
              <w:t>Urban/rural, housing condition, assets, social assistance, and household expenditure measures</w:t>
            </w:r>
          </w:p>
        </w:tc>
        <w:tc>
          <w:tcPr>
            <w:tcW w:type="dxa" w:w="2736"/>
            <w:vAlign w:val="center"/>
          </w:tcPr>
          <w:p>
            <w:pPr>
              <w:spacing w:line="240" w:lineRule="auto" w:after="0"/>
            </w:pPr>
            <w:r/>
            <w:r>
              <w:rPr>
                <w:rFonts w:ascii="Times New Roman" w:hAnsi="Times New Roman" w:eastAsia="Times New Roman"/>
                <w:b w:val="0"/>
                <w:i w:val="0"/>
                <w:sz w:val="16"/>
              </w:rPr>
              <w:t>KOR RT + KP / household</w:t>
            </w:r>
          </w:p>
        </w:tc>
      </w:tr>
      <w:tr>
        <w:tc>
          <w:tcPr>
            <w:tcW w:type="dxa" w:w="1800"/>
            <w:vAlign w:val="center"/>
          </w:tcPr>
          <w:p>
            <w:pPr>
              <w:spacing w:line="240" w:lineRule="auto" w:after="0"/>
            </w:pPr>
            <w:r/>
            <w:r>
              <w:rPr>
                <w:rFonts w:ascii="Times New Roman" w:hAnsi="Times New Roman" w:eastAsia="Times New Roman"/>
                <w:b w:val="0"/>
                <w:i w:val="0"/>
                <w:sz w:val="16"/>
              </w:rPr>
              <w:t>Smoking expenditure</w:t>
            </w:r>
          </w:p>
        </w:tc>
        <w:tc>
          <w:tcPr>
            <w:tcW w:type="dxa" w:w="5040"/>
            <w:vAlign w:val="center"/>
          </w:tcPr>
          <w:p>
            <w:pPr>
              <w:spacing w:line="240" w:lineRule="auto" w:after="0"/>
            </w:pPr>
            <w:r/>
            <w:r>
              <w:rPr>
                <w:rFonts w:ascii="Times New Roman" w:hAnsi="Times New Roman" w:eastAsia="Times New Roman"/>
                <w:b w:val="0"/>
                <w:i w:val="0"/>
                <w:sz w:val="16"/>
              </w:rPr>
              <w:t>Household tobacco expenditure or smoking indicator, subject to validated commodity coding</w:t>
            </w:r>
          </w:p>
        </w:tc>
        <w:tc>
          <w:tcPr>
            <w:tcW w:type="dxa" w:w="2736"/>
            <w:vAlign w:val="center"/>
          </w:tcPr>
          <w:p>
            <w:pPr>
              <w:spacing w:line="240" w:lineRule="auto" w:after="0"/>
            </w:pPr>
            <w:r/>
            <w:r>
              <w:rPr>
                <w:rFonts w:ascii="Times New Roman" w:hAnsi="Times New Roman" w:eastAsia="Times New Roman"/>
                <w:b w:val="0"/>
                <w:i w:val="0"/>
                <w:sz w:val="16"/>
              </w:rPr>
              <w:t>KP Block 41 / household aggregate</w:t>
            </w:r>
          </w:p>
        </w:tc>
      </w:tr>
      <w:tr>
        <w:tc>
          <w:tcPr>
            <w:tcW w:type="dxa" w:w="1800"/>
            <w:vAlign w:val="center"/>
          </w:tcPr>
          <w:p>
            <w:pPr>
              <w:spacing w:line="240" w:lineRule="auto" w:after="0"/>
            </w:pPr>
            <w:r/>
            <w:r>
              <w:rPr>
                <w:rFonts w:ascii="Times New Roman" w:hAnsi="Times New Roman" w:eastAsia="Times New Roman"/>
                <w:b w:val="0"/>
                <w:i w:val="0"/>
                <w:sz w:val="16"/>
              </w:rPr>
              <w:t>Leakage exclusions</w:t>
            </w:r>
          </w:p>
        </w:tc>
        <w:tc>
          <w:tcPr>
            <w:tcW w:type="dxa" w:w="5040"/>
            <w:vAlign w:val="center"/>
          </w:tcPr>
          <w:p>
            <w:pPr>
              <w:spacing w:line="240" w:lineRule="auto" w:after="0"/>
            </w:pPr>
            <w:r/>
            <w:r>
              <w:rPr>
                <w:rFonts w:ascii="Times New Roman" w:hAnsi="Times New Roman" w:eastAsia="Times New Roman"/>
                <w:b w:val="0"/>
                <w:i w:val="0"/>
                <w:sz w:val="16"/>
              </w:rPr>
              <w:t>Per-capita calories and direct food-energy/protein/macronutrient measures excluded from the primary predictor set</w:t>
            </w:r>
          </w:p>
        </w:tc>
        <w:tc>
          <w:tcPr>
            <w:tcW w:type="dxa" w:w="2736"/>
            <w:vAlign w:val="center"/>
          </w:tcPr>
          <w:p>
            <w:pPr>
              <w:spacing w:line="240" w:lineRule="auto" w:after="0"/>
            </w:pPr>
            <w:r/>
            <w:r>
              <w:rPr>
                <w:rFonts w:ascii="Times New Roman" w:hAnsi="Times New Roman" w:eastAsia="Times New Roman"/>
                <w:b w:val="0"/>
                <w:i w:val="0"/>
                <w:sz w:val="16"/>
              </w:rPr>
              <w:t>KP Block 43 / do not use as predictors</w:t>
            </w:r>
          </w:p>
        </w:tc>
      </w:tr>
    </w:tbl>
    <w:p>
      <w:pPr>
        <w:pStyle w:val="Paragraph"/>
        <w:spacing w:line="240" w:lineRule="auto" w:after="120"/>
      </w:pPr>
      <w:r>
        <w:rPr>
          <w:rFonts w:ascii="Times New Roman" w:hAnsi="Times New Roman" w:eastAsia="Times New Roman"/>
          <w:i/>
          <w:sz w:val="18"/>
        </w:rPr>
        <w:t>Source: Authors’ planned variable mapping based on Susenas March 2024 files; finalize variable codes and operational definitions before analysis.</w:t>
      </w:r>
    </w:p>
    <w:p>
      <w:pPr>
        <w:pStyle w:val="Heading2"/>
        <w:keepNext/>
      </w:pPr>
      <w:r>
        <w:t>2.2. Research Method</w:t>
      </w:r>
    </w:p>
    <w:p>
      <w:pPr>
        <w:pStyle w:val="Heading3"/>
        <w:keepNext/>
      </w:pPr>
      <w:r>
        <w:t>2.2.1. Data Processing</w:t>
      </w:r>
    </w:p>
    <w:p>
      <w:pPr>
        <w:pStyle w:val="Paragraph"/>
        <w:spacing w:line="240" w:lineRule="auto" w:after="0"/>
      </w:pPr>
      <w:r>
        <w:rPr>
          <w:rFonts w:ascii="Times New Roman" w:hAnsi="Times New Roman" w:eastAsia="Times New Roman"/>
        </w:rPr>
        <w:t xml:space="preserve">Data cleaning will distinguish valid zero values from questionnaire skip codes. Apply missing-value recoding according to the label and universe of each variable; convert multi-response letter fields to indicators where appropriate. Aggregate individual characteristics to the household level and verify household counts and merge keys. Avoid double-counting KP Block 41 subtotal and detailed commodity rows when calculating expenditure. [Document all exclusions, recodes, and validation results.] </w:t>
      </w:r>
    </w:p>
    <w:p>
      <w:pPr>
        <w:pStyle w:val="Heading3"/>
        <w:keepNext/>
      </w:pPr>
      <w:r>
        <w:t>2.2.2. Outcome Definition</w:t>
      </w:r>
    </w:p>
    <w:p>
      <w:pPr>
        <w:pStyle w:val="Paragraph"/>
        <w:spacing w:line="240" w:lineRule="auto" w:after="0"/>
      </w:pPr>
      <w:r>
        <w:rPr>
          <w:rFonts w:ascii="Times New Roman" w:hAnsi="Times New Roman" w:eastAsia="Times New Roman"/>
        </w:rPr>
        <w:t xml:space="preserve">For each household h, the proposed adequacy ratio is total daily household energy consumption divided by the sum of daily AKG energy requirements for its members, with individual requirements assigned using the applicable age- and sex-specific AKG table. The initial plan proposes deriving total household energy from KALORI_KAP × R301; verify the variable definition, units, and consistency with the individual-level AKG aggregation before adoption. [Cite the exact AKG regulation/table and explain age-band mapping, special physiological groups if included, and treatment of missing age/sex.] </w:t>
      </w:r>
    </w:p>
    <w:p>
      <w:pPr>
        <w:pStyle w:val="Paragraph"/>
        <w:spacing w:line="240" w:lineRule="auto" w:after="0"/>
      </w:pPr>
      <w:r>
        <w:rPr>
          <w:rFonts w:ascii="Times New Roman" w:hAnsi="Times New Roman" w:eastAsia="Times New Roman"/>
          <w:highlight w:val="yellow"/>
        </w:rPr>
        <w:t>[DECISION REQUIRED BEFORE MODELING: the current plan contains two non-equivalent binary rules. One defines deficit as adequacy ratio &lt; 1 (below 100%); another groups 80–99% as adequate and defines insufficient/deficit using the lower categories. Confirm which threshold answers the research question, reconcile the stated 70–79% and &lt;70% categories, specify the treatment of exactly 100% and values above 100%, and cite the authoritative source. The 2,100/2,150 kcal per-capita thresholds are separate benchmarks and must not be treated as identical to the AKG-based ratio.]</w:t>
      </w:r>
    </w:p>
    <w:p>
      <w:pPr>
        <w:pStyle w:val="Paragraph"/>
        <w:keepLines/>
        <w:spacing w:line="240" w:lineRule="auto" w:after="0"/>
      </w:pPr>
      <w:r>
        <w:rPr>
          <w:rFonts w:ascii="Times New Roman" w:hAnsi="Times New Roman" w:eastAsia="Times New Roman"/>
        </w:rPr>
        <w:t>The primary target will be coded only after this decision is approved. The binary event class (deficit = 1 or the explicitly chosen alternative) and its direction must remain consistent in prevalence estimates, WOE calculation, model fitting, and interpretation. A per-capita threshold may be reported as a separate sensitivity/comparison analysis if justified.</w:t>
      </w:r>
    </w:p>
    <w:p>
      <w:pPr>
        <w:pStyle w:val="Heading3"/>
        <w:keepNext/>
      </w:pPr>
      <w:r>
        <w:t>2.2.3. Predictor Set and Leakage Control</w:t>
      </w:r>
    </w:p>
    <w:p>
      <w:pPr>
        <w:pStyle w:val="Paragraph"/>
        <w:spacing w:line="240" w:lineRule="auto" w:after="0"/>
      </w:pPr>
      <w:r>
        <w:rPr>
          <w:rFonts w:ascii="Times New Roman" w:hAnsi="Times New Roman" w:eastAsia="Times New Roman"/>
        </w:rPr>
        <w:t>Candidate predictors include household composition; household-head sex, age, education, and employment; the presence or number of working members; area, housing, assets, and assistance; selected expenditure/welfare measures; and tobacco expenditure. Final inclusion depends on data availability and theoretical justification. Exclude KALORI_KAP, PROTE_KAP, LEMAK_KAP, KARBO_KAP and any feature that directly constructs or proxies the target. Review expenditure features carefully for target leakage because food spending and calorie consumption may be mechanically related.</w:t>
      </w:r>
    </w:p>
    <w:p>
      <w:pPr>
        <w:pStyle w:val="Heading3"/>
        <w:keepNext/>
      </w:pPr>
      <w:r>
        <w:t>2.2.4. Model Development and Validation</w:t>
      </w:r>
    </w:p>
    <w:p>
      <w:pPr>
        <w:pStyle w:val="Paragraph"/>
        <w:spacing w:line="240" w:lineRule="auto" w:after="0"/>
      </w:pPr>
      <w:r>
        <w:rPr>
          <w:rFonts w:ascii="Times New Roman" w:hAnsi="Times New Roman" w:eastAsia="Times New Roman"/>
        </w:rPr>
        <w:t>The planned comparison is logistic regression with WOE-transformed predictors versus XGBoost; a conventional logistic-regression baseline may be added as a reference model. Split the data into stratified training and test sets (planned 80:20). Use repeated stratified five-fold cross-validation on training data (planned three repeats) for model selection and tuning. All learned preprocessing—including cut points, imputation, rare-category handling, and WOE estimates—must be fitted inside each resampling fold to prevent leakage. Specify WOE event direction and use documented smoothing or category consolidation where bins contain zero or few events.</w:t>
      </w:r>
    </w:p>
    <w:p>
      <w:pPr>
        <w:pStyle w:val="Paragraph"/>
        <w:spacing w:line="240" w:lineRule="auto" w:after="0"/>
      </w:pPr>
      <w:r>
        <w:rPr>
          <w:rFonts w:ascii="Times New Roman" w:hAnsi="Times New Roman" w:eastAsia="Times New Roman"/>
        </w:rPr>
        <w:t>Tune model parameters using the training resamples only. Evaluate the selected workflow once on the held-out test set using ROC AUC, balanced accuracy, sensitivity, specificity, F1 score, and optionally Brier score. Report class prevalence and confusion-matrix counts alongside metrics. Interpret logistic-WOE coefficients and bin-level WOE; interpret XGBoost using variable importance and, where feasible, partial dependence or SHAP. Record software/package versions and random seed.</w:t>
      </w:r>
    </w:p>
    <w:p>
      <w:pPr>
        <w:pStyle w:val="Heading3"/>
        <w:keepNext/>
      </w:pPr>
      <w:r>
        <w:t>2.2.5. Survey Design Considerations</w:t>
      </w:r>
    </w:p>
    <w:p>
      <w:pPr>
        <w:pStyle w:val="Paragraph"/>
        <w:spacing w:line="240" w:lineRule="auto" w:after="0"/>
      </w:pPr>
      <w:r>
        <w:rPr>
          <w:rFonts w:ascii="Times New Roman" w:hAnsi="Times New Roman" w:eastAsia="Times New Roman"/>
        </w:rPr>
        <w:t>Susenas provides survey design variables and weights. Use the appropriate household/person weights for descriptive population estimates, and report whether PSU and STRATA are incorporated. If the predictive models are unweighted, state this explicitly and justify the choice; do not describe unweighted sample metrics as population-representative estimates.</w:t>
      </w:r>
    </w:p>
    <w:p>
      <w:pPr>
        <w:pStyle w:val="Heading1"/>
        <w:keepNext/>
      </w:pPr>
      <w:r>
        <w:t>3. Results</w:t>
      </w:r>
    </w:p>
    <w:p>
      <w:pPr>
        <w:pStyle w:val="Paragraph"/>
        <w:spacing w:line="240" w:lineRule="auto" w:after="0"/>
      </w:pPr>
      <w:r>
        <w:rPr>
          <w:rFonts w:ascii="Times New Roman" w:hAnsi="Times New Roman" w:eastAsia="Times New Roman"/>
          <w:i/>
        </w:rPr>
        <w:t>This section is intentionally a results framework. Populate it only after completing the validated analysis; do not retain the bracketed prompts or report illustrative values as findings.</w:t>
      </w:r>
    </w:p>
    <w:p>
      <w:pPr>
        <w:pStyle w:val="Heading2"/>
        <w:keepNext/>
      </w:pPr>
      <w:r>
        <w:t>3.1. Analytic Sample and Data Quality</w:t>
      </w:r>
    </w:p>
    <w:p>
      <w:pPr>
        <w:pStyle w:val="Paragraph"/>
        <w:spacing w:line="240" w:lineRule="auto" w:after="0"/>
      </w:pPr>
      <w:r>
        <w:rPr>
          <w:rFonts w:ascii="Times New Roman" w:hAnsi="Times New Roman" w:eastAsia="Times New Roman"/>
          <w:highlight w:val="yellow"/>
        </w:rPr>
        <w:t>[Report the sample flow from 26,012 source households to the final analytic sample, reasons for exclusions, missingness, merge checks, and any applied survey weights.]</w:t>
      </w:r>
    </w:p>
    <w:p>
      <w:pPr>
        <w:pStyle w:val="Heading2"/>
        <w:keepNext/>
      </w:pPr>
      <w:r>
        <w:t>3.2. Household Energy Adequacy and Outcome Distribution</w:t>
      </w:r>
    </w:p>
    <w:p>
      <w:pPr>
        <w:pStyle w:val="Paragraph"/>
        <w:spacing w:line="240" w:lineRule="auto" w:after="0"/>
      </w:pPr>
      <w:r>
        <w:rPr>
          <w:rFonts w:ascii="Times New Roman" w:hAnsi="Times New Roman" w:eastAsia="Times New Roman"/>
          <w:highlight w:val="yellow"/>
        </w:rPr>
        <w:t>[After approving the target definition, report the adequacy-ratio distribution and weighted/unweighted class prevalence as appropriate. Include the separate 2,100/2,150 kcal per-capita comparison only if its source and purpose are specified.]</w:t>
      </w:r>
      <w:r>
        <w:t xml:space="preserve"> Table 2 will summarize the final sample and key household characteristics.</w:t>
      </w:r>
    </w:p>
    <w:p>
      <w:pPr>
        <w:pStyle w:val="TableCaption"/>
        <w:keepNext/>
        <w:pageBreakBefore/>
        <w:spacing w:before="120" w:after="60"/>
        <w:jc w:val="center"/>
      </w:pPr>
      <w:r>
        <w:rPr>
          <w:rFonts w:ascii="Times New Roman" w:hAnsi="Times New Roman" w:eastAsia="Times New Roman"/>
          <w:b/>
          <w:sz w:val="20"/>
        </w:rPr>
        <w:t>Table 2. Descriptive characteristics of the final household sample</w:t>
      </w:r>
    </w:p>
    <w:tbl>
      <w:tblPr>
        <w:tblStyle w:val="TableGrid"/>
        <w:tblW w:type="auto" w:w="0"/>
        <w:tblLayout w:type="fixed"/>
        <w:tblLook w:firstColumn="1" w:firstRow="1" w:lastColumn="0" w:lastRow="0" w:noHBand="0" w:noVBand="1" w:val="04A0"/>
        <w:tblBorders>
          <w:top w:val="single" w:sz="5" w:color="777777"/>
          <w:left w:val="nil"/>
          <w:bottom w:val="single" w:sz="5" w:color="777777"/>
          <w:right w:val="nil"/>
          <w:insideH w:val="single" w:sz="5" w:color="777777"/>
          <w:insideV w:val="nil"/>
        </w:tblBorders>
      </w:tblPr>
      <w:tblGrid>
        <w:gridCol w:w="2268"/>
        <w:gridCol w:w="2268"/>
        <w:gridCol w:w="2268"/>
        <w:gridCol w:w="2268"/>
      </w:tblGrid>
      <w:tr>
        <w:tc>
          <w:tcPr>
            <w:tcW w:type="dxa" w:w="3888"/>
            <w:vAlign w:val="center"/>
            <w:shd w:fill="E8EEF5"/>
          </w:tcPr>
          <w:p>
            <w:pPr>
              <w:spacing w:line="240" w:lineRule="auto" w:after="0"/>
            </w:pPr>
            <w:r/>
            <w:r>
              <w:rPr>
                <w:rFonts w:ascii="Times New Roman" w:hAnsi="Times New Roman" w:eastAsia="Times New Roman"/>
                <w:b/>
                <w:i w:val="0"/>
                <w:sz w:val="16"/>
              </w:rPr>
              <w:t>Characteristic</w:t>
            </w:r>
          </w:p>
        </w:tc>
        <w:tc>
          <w:tcPr>
            <w:tcW w:type="dxa" w:w="1872"/>
            <w:vAlign w:val="center"/>
            <w:shd w:fill="E8EEF5"/>
          </w:tcPr>
          <w:p>
            <w:pPr>
              <w:spacing w:line="240" w:lineRule="auto" w:after="0"/>
            </w:pPr>
            <w:r/>
            <w:r>
              <w:rPr>
                <w:rFonts w:ascii="Times New Roman" w:hAnsi="Times New Roman" w:eastAsia="Times New Roman"/>
                <w:b/>
                <w:i w:val="0"/>
                <w:sz w:val="16"/>
              </w:rPr>
              <w:t>Overall</w:t>
            </w:r>
          </w:p>
        </w:tc>
        <w:tc>
          <w:tcPr>
            <w:tcW w:type="dxa" w:w="1872"/>
            <w:vAlign w:val="center"/>
            <w:shd w:fill="E8EEF5"/>
          </w:tcPr>
          <w:p>
            <w:pPr>
              <w:spacing w:line="240" w:lineRule="auto" w:after="0"/>
            </w:pPr>
            <w:r/>
            <w:r>
              <w:rPr>
                <w:rFonts w:ascii="Times New Roman" w:hAnsi="Times New Roman" w:eastAsia="Times New Roman"/>
                <w:b/>
                <w:i w:val="0"/>
                <w:sz w:val="16"/>
              </w:rPr>
              <w:t>Deficit group</w:t>
            </w:r>
          </w:p>
        </w:tc>
        <w:tc>
          <w:tcPr>
            <w:tcW w:type="dxa" w:w="1872"/>
            <w:vAlign w:val="center"/>
            <w:shd w:fill="E8EEF5"/>
          </w:tcPr>
          <w:p>
            <w:pPr>
              <w:spacing w:line="240" w:lineRule="auto" w:after="0"/>
            </w:pPr>
            <w:r/>
            <w:r>
              <w:rPr>
                <w:rFonts w:ascii="Times New Roman" w:hAnsi="Times New Roman" w:eastAsia="Times New Roman"/>
                <w:b/>
                <w:i w:val="0"/>
                <w:sz w:val="16"/>
              </w:rPr>
              <w:t>Adequate group</w:t>
            </w:r>
          </w:p>
        </w:tc>
      </w:tr>
      <w:tr>
        <w:tc>
          <w:tcPr>
            <w:tcW w:type="dxa" w:w="3888"/>
            <w:vAlign w:val="center"/>
          </w:tcPr>
          <w:p>
            <w:pPr>
              <w:spacing w:line="240" w:lineRule="auto" w:after="0"/>
            </w:pPr>
            <w:r/>
            <w:r>
              <w:rPr>
                <w:rFonts w:ascii="Times New Roman" w:hAnsi="Times New Roman" w:eastAsia="Times New Roman"/>
                <w:b w:val="0"/>
                <w:i w:val="0"/>
                <w:sz w:val="16"/>
              </w:rPr>
              <w:t>Final household sample (n)</w:t>
            </w:r>
          </w:p>
        </w:tc>
        <w:tc>
          <w:tcPr>
            <w:tcW w:type="dxa" w:w="1872"/>
            <w:vAlign w:val="center"/>
          </w:tcPr>
          <w:p>
            <w:pPr>
              <w:spacing w:line="240" w:lineRule="auto" w:after="0"/>
            </w:pPr>
            <w:r/>
            <w:r>
              <w:rPr>
                <w:rFonts w:ascii="Times New Roman" w:hAnsi="Times New Roman" w:eastAsia="Times New Roman"/>
                <w:b w:val="0"/>
                <w:i w:val="0"/>
                <w:sz w:val="16"/>
              </w:rPr>
              <w:t>[to report]</w:t>
            </w:r>
          </w:p>
        </w:tc>
        <w:tc>
          <w:tcPr>
            <w:tcW w:type="dxa" w:w="1872"/>
            <w:vAlign w:val="center"/>
          </w:tcPr>
          <w:p>
            <w:pPr>
              <w:spacing w:line="240" w:lineRule="auto" w:after="0"/>
            </w:pPr>
            <w:r/>
            <w:r>
              <w:rPr>
                <w:rFonts w:ascii="Times New Roman" w:hAnsi="Times New Roman" w:eastAsia="Times New Roman"/>
                <w:b w:val="0"/>
                <w:i w:val="0"/>
                <w:sz w:val="16"/>
              </w:rPr>
              <w:t>[to report]</w:t>
            </w:r>
          </w:p>
        </w:tc>
        <w:tc>
          <w:tcPr>
            <w:tcW w:type="dxa" w:w="1872"/>
            <w:vAlign w:val="center"/>
          </w:tcPr>
          <w:p>
            <w:pPr>
              <w:spacing w:line="240" w:lineRule="auto" w:after="0"/>
            </w:pPr>
            <w:r/>
            <w:r>
              <w:rPr>
                <w:rFonts w:ascii="Times New Roman" w:hAnsi="Times New Roman" w:eastAsia="Times New Roman"/>
                <w:b w:val="0"/>
                <w:i w:val="0"/>
                <w:sz w:val="16"/>
              </w:rPr>
              <w:t>[to report]</w:t>
            </w:r>
          </w:p>
        </w:tc>
      </w:tr>
      <w:tr>
        <w:tc>
          <w:tcPr>
            <w:tcW w:type="dxa" w:w="3888"/>
            <w:vAlign w:val="center"/>
          </w:tcPr>
          <w:p>
            <w:pPr>
              <w:spacing w:line="240" w:lineRule="auto" w:after="0"/>
            </w:pPr>
            <w:r/>
            <w:r>
              <w:rPr>
                <w:rFonts w:ascii="Times New Roman" w:hAnsi="Times New Roman" w:eastAsia="Times New Roman"/>
                <w:b w:val="0"/>
                <w:i w:val="0"/>
                <w:sz w:val="16"/>
              </w:rPr>
              <w:t>Household energy adequacy ratio</w:t>
            </w:r>
          </w:p>
        </w:tc>
        <w:tc>
          <w:tcPr>
            <w:tcW w:type="dxa" w:w="1872"/>
            <w:vAlign w:val="center"/>
          </w:tcPr>
          <w:p>
            <w:pPr>
              <w:spacing w:line="240" w:lineRule="auto" w:after="0"/>
            </w:pPr>
            <w:r/>
            <w:r>
              <w:rPr>
                <w:rFonts w:ascii="Times New Roman" w:hAnsi="Times New Roman" w:eastAsia="Times New Roman"/>
                <w:b w:val="0"/>
                <w:i w:val="0"/>
                <w:sz w:val="16"/>
              </w:rPr>
              <w:t>[to report]</w:t>
            </w:r>
          </w:p>
        </w:tc>
        <w:tc>
          <w:tcPr>
            <w:tcW w:type="dxa" w:w="1872"/>
            <w:vAlign w:val="center"/>
          </w:tcPr>
          <w:p>
            <w:pPr>
              <w:spacing w:line="240" w:lineRule="auto" w:after="0"/>
            </w:pPr>
            <w:r/>
            <w:r>
              <w:rPr>
                <w:rFonts w:ascii="Times New Roman" w:hAnsi="Times New Roman" w:eastAsia="Times New Roman"/>
                <w:b w:val="0"/>
                <w:i w:val="0"/>
                <w:sz w:val="16"/>
              </w:rPr>
              <w:t>[to report]</w:t>
            </w:r>
          </w:p>
        </w:tc>
        <w:tc>
          <w:tcPr>
            <w:tcW w:type="dxa" w:w="1872"/>
            <w:vAlign w:val="center"/>
          </w:tcPr>
          <w:p>
            <w:pPr>
              <w:spacing w:line="240" w:lineRule="auto" w:after="0"/>
            </w:pPr>
            <w:r/>
            <w:r>
              <w:rPr>
                <w:rFonts w:ascii="Times New Roman" w:hAnsi="Times New Roman" w:eastAsia="Times New Roman"/>
                <w:b w:val="0"/>
                <w:i w:val="0"/>
                <w:sz w:val="16"/>
              </w:rPr>
              <w:t>[to report]</w:t>
            </w:r>
          </w:p>
        </w:tc>
      </w:tr>
      <w:tr>
        <w:tc>
          <w:tcPr>
            <w:tcW w:type="dxa" w:w="3888"/>
            <w:vAlign w:val="center"/>
          </w:tcPr>
          <w:p>
            <w:pPr>
              <w:spacing w:line="240" w:lineRule="auto" w:after="0"/>
            </w:pPr>
            <w:r/>
            <w:r>
              <w:rPr>
                <w:rFonts w:ascii="Times New Roman" w:hAnsi="Times New Roman" w:eastAsia="Times New Roman"/>
                <w:b w:val="0"/>
                <w:i w:val="0"/>
                <w:sz w:val="16"/>
              </w:rPr>
              <w:t>Household composition / socioeconomic indicators</w:t>
            </w:r>
          </w:p>
        </w:tc>
        <w:tc>
          <w:tcPr>
            <w:tcW w:type="dxa" w:w="1872"/>
            <w:vAlign w:val="center"/>
          </w:tcPr>
          <w:p>
            <w:pPr>
              <w:spacing w:line="240" w:lineRule="auto" w:after="0"/>
            </w:pPr>
            <w:r/>
            <w:r>
              <w:rPr>
                <w:rFonts w:ascii="Times New Roman" w:hAnsi="Times New Roman" w:eastAsia="Times New Roman"/>
                <w:b w:val="0"/>
                <w:i w:val="0"/>
                <w:sz w:val="16"/>
              </w:rPr>
              <w:t>[to report]</w:t>
            </w:r>
          </w:p>
        </w:tc>
        <w:tc>
          <w:tcPr>
            <w:tcW w:type="dxa" w:w="1872"/>
            <w:vAlign w:val="center"/>
          </w:tcPr>
          <w:p>
            <w:pPr>
              <w:spacing w:line="240" w:lineRule="auto" w:after="0"/>
            </w:pPr>
            <w:r/>
            <w:r>
              <w:rPr>
                <w:rFonts w:ascii="Times New Roman" w:hAnsi="Times New Roman" w:eastAsia="Times New Roman"/>
                <w:b w:val="0"/>
                <w:i w:val="0"/>
                <w:sz w:val="16"/>
              </w:rPr>
              <w:t>[to report]</w:t>
            </w:r>
          </w:p>
        </w:tc>
        <w:tc>
          <w:tcPr>
            <w:tcW w:type="dxa" w:w="1872"/>
            <w:vAlign w:val="center"/>
          </w:tcPr>
          <w:p>
            <w:pPr>
              <w:spacing w:line="240" w:lineRule="auto" w:after="0"/>
            </w:pPr>
            <w:r/>
            <w:r>
              <w:rPr>
                <w:rFonts w:ascii="Times New Roman" w:hAnsi="Times New Roman" w:eastAsia="Times New Roman"/>
                <w:b w:val="0"/>
                <w:i w:val="0"/>
                <w:sz w:val="16"/>
              </w:rPr>
              <w:t>[to report]</w:t>
            </w:r>
          </w:p>
        </w:tc>
      </w:tr>
    </w:tbl>
    <w:p>
      <w:pPr>
        <w:pStyle w:val="Paragraph"/>
        <w:spacing w:line="240" w:lineRule="auto" w:after="120"/>
      </w:pPr>
      <w:r>
        <w:rPr>
          <w:rFonts w:ascii="Times New Roman" w:hAnsi="Times New Roman" w:eastAsia="Times New Roman"/>
          <w:i/>
          <w:sz w:val="18"/>
        </w:rPr>
        <w:t>Source: Authors’ calculations from Susenas March 2024. Replace all bracketed entries; state weighting and denominator conventions.</w:t>
      </w:r>
    </w:p>
    <w:p>
      <w:pPr>
        <w:pStyle w:val="Heading2"/>
        <w:keepNext/>
      </w:pPr>
      <w:r>
        <w:t>3.3. Predictive Performance</w:t>
      </w:r>
    </w:p>
    <w:p>
      <w:pPr>
        <w:pStyle w:val="Paragraph"/>
        <w:spacing w:line="240" w:lineRule="auto" w:after="0"/>
      </w:pPr>
      <w:r>
        <w:rPr>
          <w:rFonts w:ascii="Times New Roman" w:hAnsi="Times New Roman" w:eastAsia="Times New Roman"/>
          <w:highlight w:val="yellow"/>
        </w:rPr>
        <w:t>[Report cross-validation results for model selection and final metrics from the untouched test set. Identify the selected model using a criterion chosen in advance.]</w:t>
      </w:r>
      <w:r>
        <w:t xml:space="preserve"> Summarize final held-out metrics in Table 3.</w:t>
      </w:r>
    </w:p>
    <w:p>
      <w:pPr>
        <w:pStyle w:val="TableCaption"/>
        <w:keepNext/>
        <w:spacing w:before="120" w:after="60"/>
        <w:jc w:val="center"/>
      </w:pPr>
      <w:r>
        <w:rPr>
          <w:rFonts w:ascii="Times New Roman" w:hAnsi="Times New Roman" w:eastAsia="Times New Roman"/>
          <w:b/>
          <w:sz w:val="20"/>
        </w:rPr>
        <w:t>Table 3. Predictive performance on the held-out test set</w:t>
      </w:r>
    </w:p>
    <w:tbl>
      <w:tblPr>
        <w:tblStyle w:val="TableGrid"/>
        <w:tblW w:type="auto" w:w="0"/>
        <w:tblLayout w:type="fixed"/>
        <w:tblLook w:firstColumn="1" w:firstRow="1" w:lastColumn="0" w:lastRow="0" w:noHBand="0" w:noVBand="1" w:val="04A0"/>
        <w:tblBorders>
          <w:top w:val="single" w:sz="5" w:color="777777"/>
          <w:left w:val="nil"/>
          <w:bottom w:val="single" w:sz="5" w:color="777777"/>
          <w:right w:val="nil"/>
          <w:insideH w:val="single" w:sz="5" w:color="777777"/>
          <w:insideV w:val="nil"/>
        </w:tblBorders>
      </w:tblPr>
      <w:tblGrid>
        <w:gridCol w:w="1512"/>
        <w:gridCol w:w="1512"/>
        <w:gridCol w:w="1512"/>
        <w:gridCol w:w="1512"/>
        <w:gridCol w:w="1512"/>
        <w:gridCol w:w="1512"/>
      </w:tblGrid>
      <w:tr>
        <w:tc>
          <w:tcPr>
            <w:tcW w:type="dxa" w:w="2088"/>
            <w:vAlign w:val="center"/>
            <w:shd w:fill="E8EEF5"/>
          </w:tcPr>
          <w:p>
            <w:pPr>
              <w:spacing w:line="240" w:lineRule="auto" w:after="0"/>
            </w:pPr>
            <w:r/>
            <w:r>
              <w:rPr>
                <w:rFonts w:ascii="Times New Roman" w:hAnsi="Times New Roman" w:eastAsia="Times New Roman"/>
                <w:b/>
                <w:i w:val="0"/>
                <w:sz w:val="16"/>
              </w:rPr>
              <w:t>Model</w:t>
            </w:r>
          </w:p>
        </w:tc>
        <w:tc>
          <w:tcPr>
            <w:tcW w:type="dxa" w:w="1440"/>
            <w:vAlign w:val="center"/>
            <w:shd w:fill="E8EEF5"/>
          </w:tcPr>
          <w:p>
            <w:pPr>
              <w:spacing w:line="240" w:lineRule="auto" w:after="0"/>
            </w:pPr>
            <w:r/>
            <w:r>
              <w:rPr>
                <w:rFonts w:ascii="Times New Roman" w:hAnsi="Times New Roman" w:eastAsia="Times New Roman"/>
                <w:b/>
                <w:i w:val="0"/>
                <w:sz w:val="16"/>
              </w:rPr>
              <w:t>ROC AUC</w:t>
            </w:r>
          </w:p>
        </w:tc>
        <w:tc>
          <w:tcPr>
            <w:tcW w:type="dxa" w:w="1656"/>
            <w:vAlign w:val="center"/>
            <w:shd w:fill="E8EEF5"/>
          </w:tcPr>
          <w:p>
            <w:pPr>
              <w:spacing w:line="240" w:lineRule="auto" w:after="0"/>
            </w:pPr>
            <w:r/>
            <w:r>
              <w:rPr>
                <w:rFonts w:ascii="Times New Roman" w:hAnsi="Times New Roman" w:eastAsia="Times New Roman"/>
                <w:b/>
                <w:i w:val="0"/>
                <w:sz w:val="16"/>
              </w:rPr>
              <w:t>Balanced accuracy</w:t>
            </w:r>
          </w:p>
        </w:tc>
        <w:tc>
          <w:tcPr>
            <w:tcW w:type="dxa" w:w="1440"/>
            <w:vAlign w:val="center"/>
            <w:shd w:fill="E8EEF5"/>
          </w:tcPr>
          <w:p>
            <w:pPr>
              <w:spacing w:line="240" w:lineRule="auto" w:after="0"/>
            </w:pPr>
            <w:r/>
            <w:r>
              <w:rPr>
                <w:rFonts w:ascii="Times New Roman" w:hAnsi="Times New Roman" w:eastAsia="Times New Roman"/>
                <w:b/>
                <w:i w:val="0"/>
                <w:sz w:val="16"/>
              </w:rPr>
              <w:t>Sensitivity</w:t>
            </w:r>
          </w:p>
        </w:tc>
        <w:tc>
          <w:tcPr>
            <w:tcW w:type="dxa" w:w="1440"/>
            <w:vAlign w:val="center"/>
            <w:shd w:fill="E8EEF5"/>
          </w:tcPr>
          <w:p>
            <w:pPr>
              <w:spacing w:line="240" w:lineRule="auto" w:after="0"/>
            </w:pPr>
            <w:r/>
            <w:r>
              <w:rPr>
                <w:rFonts w:ascii="Times New Roman" w:hAnsi="Times New Roman" w:eastAsia="Times New Roman"/>
                <w:b/>
                <w:i w:val="0"/>
                <w:sz w:val="16"/>
              </w:rPr>
              <w:t>Specificity</w:t>
            </w:r>
          </w:p>
        </w:tc>
        <w:tc>
          <w:tcPr>
            <w:tcW w:type="dxa" w:w="1440"/>
            <w:vAlign w:val="center"/>
            <w:shd w:fill="E8EEF5"/>
          </w:tcPr>
          <w:p>
            <w:pPr>
              <w:spacing w:line="240" w:lineRule="auto" w:after="0"/>
            </w:pPr>
            <w:r/>
            <w:r>
              <w:rPr>
                <w:rFonts w:ascii="Times New Roman" w:hAnsi="Times New Roman" w:eastAsia="Times New Roman"/>
                <w:b/>
                <w:i w:val="0"/>
                <w:sz w:val="16"/>
              </w:rPr>
              <w:t>F1 / Brier</w:t>
            </w:r>
          </w:p>
        </w:tc>
      </w:tr>
      <w:tr>
        <w:tc>
          <w:tcPr>
            <w:tcW w:type="dxa" w:w="2088"/>
            <w:vAlign w:val="center"/>
          </w:tcPr>
          <w:p>
            <w:pPr>
              <w:spacing w:line="240" w:lineRule="auto" w:after="0"/>
            </w:pPr>
            <w:r/>
            <w:r>
              <w:rPr>
                <w:rFonts w:ascii="Times New Roman" w:hAnsi="Times New Roman" w:eastAsia="Times New Roman"/>
                <w:b w:val="0"/>
                <w:i w:val="0"/>
                <w:sz w:val="16"/>
              </w:rPr>
              <w:t>Logistic-WOE</w:t>
            </w:r>
          </w:p>
        </w:tc>
        <w:tc>
          <w:tcPr>
            <w:tcW w:type="dxa" w:w="1440"/>
            <w:vAlign w:val="center"/>
          </w:tcPr>
          <w:p>
            <w:pPr>
              <w:spacing w:line="240" w:lineRule="auto" w:after="0"/>
            </w:pPr>
            <w:r/>
            <w:r>
              <w:rPr>
                <w:rFonts w:ascii="Times New Roman" w:hAnsi="Times New Roman" w:eastAsia="Times New Roman"/>
                <w:b w:val="0"/>
                <w:i w:val="0"/>
                <w:sz w:val="16"/>
              </w:rPr>
              <w:t>[to report]</w:t>
            </w:r>
          </w:p>
        </w:tc>
        <w:tc>
          <w:tcPr>
            <w:tcW w:type="dxa" w:w="1656"/>
            <w:vAlign w:val="center"/>
          </w:tcPr>
          <w:p>
            <w:pPr>
              <w:spacing w:line="240" w:lineRule="auto" w:after="0"/>
            </w:pPr>
            <w:r/>
            <w:r>
              <w:rPr>
                <w:rFonts w:ascii="Times New Roman" w:hAnsi="Times New Roman" w:eastAsia="Times New Roman"/>
                <w:b w:val="0"/>
                <w:i w:val="0"/>
                <w:sz w:val="16"/>
              </w:rPr>
              <w:t>[to report]</w:t>
            </w:r>
          </w:p>
        </w:tc>
        <w:tc>
          <w:tcPr>
            <w:tcW w:type="dxa" w:w="1440"/>
            <w:vAlign w:val="center"/>
          </w:tcPr>
          <w:p>
            <w:pPr>
              <w:spacing w:line="240" w:lineRule="auto" w:after="0"/>
            </w:pPr>
            <w:r/>
            <w:r>
              <w:rPr>
                <w:rFonts w:ascii="Times New Roman" w:hAnsi="Times New Roman" w:eastAsia="Times New Roman"/>
                <w:b w:val="0"/>
                <w:i w:val="0"/>
                <w:sz w:val="16"/>
              </w:rPr>
              <w:t>[to report]</w:t>
            </w:r>
          </w:p>
        </w:tc>
        <w:tc>
          <w:tcPr>
            <w:tcW w:type="dxa" w:w="1440"/>
            <w:vAlign w:val="center"/>
          </w:tcPr>
          <w:p>
            <w:pPr>
              <w:spacing w:line="240" w:lineRule="auto" w:after="0"/>
            </w:pPr>
            <w:r/>
            <w:r>
              <w:rPr>
                <w:rFonts w:ascii="Times New Roman" w:hAnsi="Times New Roman" w:eastAsia="Times New Roman"/>
                <w:b w:val="0"/>
                <w:i w:val="0"/>
                <w:sz w:val="16"/>
              </w:rPr>
              <w:t>[to report]</w:t>
            </w:r>
          </w:p>
        </w:tc>
        <w:tc>
          <w:tcPr>
            <w:tcW w:type="dxa" w:w="1440"/>
            <w:vAlign w:val="center"/>
          </w:tcPr>
          <w:p>
            <w:pPr>
              <w:spacing w:line="240" w:lineRule="auto" w:after="0"/>
            </w:pPr>
            <w:r/>
            <w:r>
              <w:rPr>
                <w:rFonts w:ascii="Times New Roman" w:hAnsi="Times New Roman" w:eastAsia="Times New Roman"/>
                <w:b w:val="0"/>
                <w:i w:val="0"/>
                <w:sz w:val="16"/>
              </w:rPr>
              <w:t>[to report]</w:t>
            </w:r>
          </w:p>
        </w:tc>
      </w:tr>
      <w:tr>
        <w:tc>
          <w:tcPr>
            <w:tcW w:type="dxa" w:w="2088"/>
            <w:vAlign w:val="center"/>
          </w:tcPr>
          <w:p>
            <w:pPr>
              <w:spacing w:line="240" w:lineRule="auto" w:after="0"/>
            </w:pPr>
            <w:r/>
            <w:r>
              <w:rPr>
                <w:rFonts w:ascii="Times New Roman" w:hAnsi="Times New Roman" w:eastAsia="Times New Roman"/>
                <w:b w:val="0"/>
                <w:i w:val="0"/>
                <w:sz w:val="16"/>
              </w:rPr>
              <w:t>XGBoost</w:t>
            </w:r>
          </w:p>
        </w:tc>
        <w:tc>
          <w:tcPr>
            <w:tcW w:type="dxa" w:w="1440"/>
            <w:vAlign w:val="center"/>
          </w:tcPr>
          <w:p>
            <w:pPr>
              <w:spacing w:line="240" w:lineRule="auto" w:after="0"/>
            </w:pPr>
            <w:r/>
            <w:r>
              <w:rPr>
                <w:rFonts w:ascii="Times New Roman" w:hAnsi="Times New Roman" w:eastAsia="Times New Roman"/>
                <w:b w:val="0"/>
                <w:i w:val="0"/>
                <w:sz w:val="16"/>
              </w:rPr>
              <w:t>[to report]</w:t>
            </w:r>
          </w:p>
        </w:tc>
        <w:tc>
          <w:tcPr>
            <w:tcW w:type="dxa" w:w="1656"/>
            <w:vAlign w:val="center"/>
          </w:tcPr>
          <w:p>
            <w:pPr>
              <w:spacing w:line="240" w:lineRule="auto" w:after="0"/>
            </w:pPr>
            <w:r/>
            <w:r>
              <w:rPr>
                <w:rFonts w:ascii="Times New Roman" w:hAnsi="Times New Roman" w:eastAsia="Times New Roman"/>
                <w:b w:val="0"/>
                <w:i w:val="0"/>
                <w:sz w:val="16"/>
              </w:rPr>
              <w:t>[to report]</w:t>
            </w:r>
          </w:p>
        </w:tc>
        <w:tc>
          <w:tcPr>
            <w:tcW w:type="dxa" w:w="1440"/>
            <w:vAlign w:val="center"/>
          </w:tcPr>
          <w:p>
            <w:pPr>
              <w:spacing w:line="240" w:lineRule="auto" w:after="0"/>
            </w:pPr>
            <w:r/>
            <w:r>
              <w:rPr>
                <w:rFonts w:ascii="Times New Roman" w:hAnsi="Times New Roman" w:eastAsia="Times New Roman"/>
                <w:b w:val="0"/>
                <w:i w:val="0"/>
                <w:sz w:val="16"/>
              </w:rPr>
              <w:t>[to report]</w:t>
            </w:r>
          </w:p>
        </w:tc>
        <w:tc>
          <w:tcPr>
            <w:tcW w:type="dxa" w:w="1440"/>
            <w:vAlign w:val="center"/>
          </w:tcPr>
          <w:p>
            <w:pPr>
              <w:spacing w:line="240" w:lineRule="auto" w:after="0"/>
            </w:pPr>
            <w:r/>
            <w:r>
              <w:rPr>
                <w:rFonts w:ascii="Times New Roman" w:hAnsi="Times New Roman" w:eastAsia="Times New Roman"/>
                <w:b w:val="0"/>
                <w:i w:val="0"/>
                <w:sz w:val="16"/>
              </w:rPr>
              <w:t>[to report]</w:t>
            </w:r>
          </w:p>
        </w:tc>
        <w:tc>
          <w:tcPr>
            <w:tcW w:type="dxa" w:w="1440"/>
            <w:vAlign w:val="center"/>
          </w:tcPr>
          <w:p>
            <w:pPr>
              <w:spacing w:line="240" w:lineRule="auto" w:after="0"/>
            </w:pPr>
            <w:r/>
            <w:r>
              <w:rPr>
                <w:rFonts w:ascii="Times New Roman" w:hAnsi="Times New Roman" w:eastAsia="Times New Roman"/>
                <w:b w:val="0"/>
                <w:i w:val="0"/>
                <w:sz w:val="16"/>
              </w:rPr>
              <w:t>[to report]</w:t>
            </w:r>
          </w:p>
        </w:tc>
      </w:tr>
      <w:tr>
        <w:tc>
          <w:tcPr>
            <w:tcW w:type="dxa" w:w="2088"/>
            <w:vAlign w:val="center"/>
          </w:tcPr>
          <w:p>
            <w:pPr>
              <w:spacing w:line="240" w:lineRule="auto" w:after="0"/>
            </w:pPr>
            <w:r/>
            <w:r>
              <w:rPr>
                <w:rFonts w:ascii="Times New Roman" w:hAnsi="Times New Roman" w:eastAsia="Times New Roman"/>
                <w:b w:val="0"/>
                <w:i w:val="0"/>
                <w:sz w:val="16"/>
              </w:rPr>
              <w:t>Logistic baseline (if used)</w:t>
            </w:r>
          </w:p>
        </w:tc>
        <w:tc>
          <w:tcPr>
            <w:tcW w:type="dxa" w:w="1440"/>
            <w:vAlign w:val="center"/>
          </w:tcPr>
          <w:p>
            <w:pPr>
              <w:spacing w:line="240" w:lineRule="auto" w:after="0"/>
            </w:pPr>
            <w:r/>
            <w:r>
              <w:rPr>
                <w:rFonts w:ascii="Times New Roman" w:hAnsi="Times New Roman" w:eastAsia="Times New Roman"/>
                <w:b w:val="0"/>
                <w:i w:val="0"/>
                <w:sz w:val="16"/>
              </w:rPr>
              <w:t>[to report]</w:t>
            </w:r>
          </w:p>
        </w:tc>
        <w:tc>
          <w:tcPr>
            <w:tcW w:type="dxa" w:w="1656"/>
            <w:vAlign w:val="center"/>
          </w:tcPr>
          <w:p>
            <w:pPr>
              <w:spacing w:line="240" w:lineRule="auto" w:after="0"/>
            </w:pPr>
            <w:r/>
            <w:r>
              <w:rPr>
                <w:rFonts w:ascii="Times New Roman" w:hAnsi="Times New Roman" w:eastAsia="Times New Roman"/>
                <w:b w:val="0"/>
                <w:i w:val="0"/>
                <w:sz w:val="16"/>
              </w:rPr>
              <w:t>[to report]</w:t>
            </w:r>
          </w:p>
        </w:tc>
        <w:tc>
          <w:tcPr>
            <w:tcW w:type="dxa" w:w="1440"/>
            <w:vAlign w:val="center"/>
          </w:tcPr>
          <w:p>
            <w:pPr>
              <w:spacing w:line="240" w:lineRule="auto" w:after="0"/>
            </w:pPr>
            <w:r/>
            <w:r>
              <w:rPr>
                <w:rFonts w:ascii="Times New Roman" w:hAnsi="Times New Roman" w:eastAsia="Times New Roman"/>
                <w:b w:val="0"/>
                <w:i w:val="0"/>
                <w:sz w:val="16"/>
              </w:rPr>
              <w:t>[to report]</w:t>
            </w:r>
          </w:p>
        </w:tc>
        <w:tc>
          <w:tcPr>
            <w:tcW w:type="dxa" w:w="1440"/>
            <w:vAlign w:val="center"/>
          </w:tcPr>
          <w:p>
            <w:pPr>
              <w:spacing w:line="240" w:lineRule="auto" w:after="0"/>
            </w:pPr>
            <w:r/>
            <w:r>
              <w:rPr>
                <w:rFonts w:ascii="Times New Roman" w:hAnsi="Times New Roman" w:eastAsia="Times New Roman"/>
                <w:b w:val="0"/>
                <w:i w:val="0"/>
                <w:sz w:val="16"/>
              </w:rPr>
              <w:t>[to report]</w:t>
            </w:r>
          </w:p>
        </w:tc>
        <w:tc>
          <w:tcPr>
            <w:tcW w:type="dxa" w:w="1440"/>
            <w:vAlign w:val="center"/>
          </w:tcPr>
          <w:p>
            <w:pPr>
              <w:spacing w:line="240" w:lineRule="auto" w:after="0"/>
            </w:pPr>
            <w:r/>
            <w:r>
              <w:rPr>
                <w:rFonts w:ascii="Times New Roman" w:hAnsi="Times New Roman" w:eastAsia="Times New Roman"/>
                <w:b w:val="0"/>
                <w:i w:val="0"/>
                <w:sz w:val="16"/>
              </w:rPr>
              <w:t>[to report]</w:t>
            </w:r>
          </w:p>
        </w:tc>
      </w:tr>
    </w:tbl>
    <w:p>
      <w:pPr>
        <w:pStyle w:val="Paragraph"/>
        <w:spacing w:line="240" w:lineRule="auto" w:after="120"/>
      </w:pPr>
      <w:r>
        <w:rPr>
          <w:rFonts w:ascii="Times New Roman" w:hAnsi="Times New Roman" w:eastAsia="Times New Roman"/>
          <w:i/>
          <w:sz w:val="18"/>
        </w:rPr>
        <w:t>Source: Authors’ model evaluation. Add confidence intervals or variability estimates where appropriate.</w:t>
      </w:r>
    </w:p>
    <w:p>
      <w:pPr>
        <w:pStyle w:val="Heading2"/>
        <w:keepNext/>
      </w:pPr>
      <w:r>
        <w:t>3.4. Model Interpretation</w:t>
      </w:r>
    </w:p>
    <w:p>
      <w:pPr>
        <w:pStyle w:val="Paragraph"/>
        <w:spacing w:line="240" w:lineRule="auto" w:after="0"/>
      </w:pPr>
      <w:r>
        <w:rPr>
          <w:rFonts w:ascii="Times New Roman" w:hAnsi="Times New Roman" w:eastAsia="Times New Roman"/>
          <w:highlight w:val="yellow"/>
        </w:rPr>
        <w:t>[Insert the final WOE-bin/coefficient interpretation and XGBoost importance/SHAP results. Explain direction, event definition, uncertainty, and practical relevance; do not infer causality from predictive importance.]</w:t>
      </w:r>
    </w:p>
    <w:p>
      <w:pPr>
        <w:pStyle w:val="Heading1"/>
        <w:keepNext/>
      </w:pPr>
      <w:r>
        <w:t>4. Discussion</w:t>
      </w:r>
    </w:p>
    <w:p>
      <w:pPr>
        <w:pStyle w:val="Paragraph"/>
        <w:spacing w:line="240" w:lineRule="auto" w:after="0"/>
      </w:pPr>
      <w:r>
        <w:rPr>
          <w:rFonts w:ascii="Times New Roman" w:hAnsi="Times New Roman" w:eastAsia="Times New Roman"/>
          <w:highlight w:val="yellow"/>
        </w:rPr>
        <w:t>[Interpret the main findings in relation to the research questions. Explain plausible mechanisms without overstating causality, and compare with at least two or three relevant prior studies. Discuss why model performance or important predictors may agree or differ from previous evidence.]</w:t>
      </w:r>
    </w:p>
    <w:p>
      <w:pPr>
        <w:pStyle w:val="Paragraph"/>
        <w:spacing w:line="240" w:lineRule="auto" w:after="0"/>
      </w:pPr>
      <w:r>
        <w:rPr>
          <w:rFonts w:ascii="Times New Roman" w:hAnsi="Times New Roman" w:eastAsia="Times New Roman"/>
          <w:highlight w:val="yellow"/>
        </w:rPr>
        <w:t>[Discuss implications for household energy-adequacy monitoring in West Java, the limits of a single per-capita threshold, and the appropriate use of AKG-based classification. Keep implications within the survey scope and distinguish household sample estimates from weighted population estimates.]</w:t>
      </w:r>
    </w:p>
    <w:p>
      <w:pPr>
        <w:pStyle w:val="Paragraph"/>
        <w:spacing w:line="240" w:lineRule="auto" w:after="0"/>
      </w:pPr>
      <w:r>
        <w:rPr>
          <w:rFonts w:ascii="Times New Roman" w:hAnsi="Times New Roman" w:eastAsia="Times New Roman"/>
          <w:highlight w:val="yellow"/>
        </w:rPr>
        <w:t>[State limitations: operational target and AKG mapping, dietary energy measurement, cross-sectional data, residual confounding, missingness, survey design/weighting decisions, class imbalance, model transportability, and external validation as applicable.]</w:t>
      </w:r>
    </w:p>
    <w:p>
      <w:pPr>
        <w:pStyle w:val="Heading2"/>
        <w:keepNext/>
      </w:pPr>
      <w:r>
        <w:t>4.1. Research Implications</w:t>
      </w:r>
    </w:p>
    <w:p>
      <w:pPr>
        <w:pStyle w:val="Paragraph"/>
        <w:spacing w:line="240" w:lineRule="auto" w:after="0"/>
      </w:pPr>
      <w:r>
        <w:rPr>
          <w:rFonts w:ascii="Times New Roman" w:hAnsi="Times New Roman" w:eastAsia="Times New Roman"/>
          <w:highlight w:val="yellow"/>
        </w:rPr>
        <w:t>[Summarize theoretical/methodological and practical implications for researchers or relevant decision-makers. Avoid recommending interventions that are not supported by the analysis.]</w:t>
      </w:r>
    </w:p>
    <w:p>
      <w:pPr>
        <w:pStyle w:val="Heading1"/>
        <w:keepNext/>
      </w:pPr>
      <w:r>
        <w:t>5. Conclusion</w:t>
      </w:r>
    </w:p>
    <w:p>
      <w:pPr>
        <w:pStyle w:val="Paragraph"/>
        <w:spacing w:line="240" w:lineRule="auto" w:after="0"/>
      </w:pPr>
      <w:r>
        <w:rPr>
          <w:rFonts w:ascii="Times New Roman" w:hAnsi="Times New Roman" w:eastAsia="Times New Roman"/>
          <w:highlight w:val="yellow"/>
        </w:rPr>
        <w:t>[Write concise paragraph(s) that answer each research objective and report the principal verified findings. Do not add new results, formulas, or unsupported causal claims. Confirm the required conclusion length with the instructor/current journal guidance because the reviewed template gives potentially conflicting length advice.]</w:t>
      </w:r>
    </w:p>
    <w:p>
      <w:pPr>
        <w:pStyle w:val="Heading1"/>
        <w:keepNext/>
      </w:pPr>
      <w:r>
        <w:t>6. Acknowledgments</w:t>
      </w:r>
    </w:p>
    <w:p>
      <w:pPr>
        <w:pStyle w:val="Paragraph"/>
        <w:spacing w:line="240" w:lineRule="auto" w:after="0"/>
      </w:pPr>
      <w:r>
        <w:rPr>
          <w:rFonts w:ascii="Times New Roman" w:hAnsi="Times New Roman" w:eastAsia="Times New Roman"/>
          <w:highlight w:val="yellow"/>
        </w:rPr>
        <w:t>[Optional. Add funding and other contributions if applicable. For the UAS publication route, follow the instructor/assistant approval and author-name requirements; confirm whether their role requires authorship or another form of acknowledgment under the journal's policy.]</w:t>
      </w:r>
    </w:p>
    <w:p>
      <w:pPr>
        <w:pStyle w:val="Heading1"/>
        <w:keepNext/>
      </w:pPr>
      <w:r>
        <w:t>7. References</w:t>
      </w:r>
    </w:p>
    <w:p>
      <w:pPr>
        <w:pStyle w:val="Paragraph"/>
        <w:spacing w:line="240" w:lineRule="auto" w:after="0"/>
      </w:pPr>
      <w:r>
        <w:rPr>
          <w:rFonts w:ascii="Times New Roman" w:hAnsi="Times New Roman" w:eastAsia="Times New Roman"/>
          <w:i/>
          <w:sz w:val="20"/>
          <w:highlight w:val="yellow"/>
        </w:rPr>
        <w:t>[Insert at least 15 verified, relevant references if the template's requirement remains applicable. Prioritize current peer-reviewed work for the literature gap and methods; cite official sources for AKG and calorie thresholds. Follow the confirmed IEEE style consistently in-text and in the list. Do not leave example references or fabricated citations.]</w:t>
      </w:r>
    </w:p>
    <w:p>
      <w:r>
        <w:br w:type="page"/>
      </w:r>
    </w:p>
    <w:p>
      <w:pPr>
        <w:pStyle w:val="Heading1"/>
        <w:keepNext/>
      </w:pPr>
      <w:r>
        <w:t>INTERNAL AUTHOR CHECKLIST — REMOVE BEFORE SUBMISSION</w:t>
      </w:r>
    </w:p>
    <w:p>
      <w:pPr>
        <w:pStyle w:val="Paragraph"/>
        <w:spacing w:line="240" w:lineRule="auto"/>
      </w:pPr>
      <w:r>
        <w:rPr>
          <w:rFonts w:ascii="Times New Roman" w:hAnsi="Times New Roman" w:eastAsia="Times New Roman"/>
          <w:sz w:val="22"/>
        </w:rPr>
        <w:t>☐ Resolve and document the AKG-based target threshold; reconcile the &lt;100% rule with the proposed categories before computing labels.</w:t>
      </w:r>
    </w:p>
    <w:p>
      <w:pPr>
        <w:pStyle w:val="Paragraph"/>
        <w:spacing w:line="240" w:lineRule="auto"/>
      </w:pPr>
      <w:r>
        <w:rPr>
          <w:rFonts w:ascii="Times New Roman" w:hAnsi="Times New Roman" w:eastAsia="Times New Roman"/>
          <w:sz w:val="22"/>
        </w:rPr>
        <w:t>☐ Verify the official source and exact definition for any 2,100 or 2,150 kcal/person/day comparison.</w:t>
      </w:r>
    </w:p>
    <w:p>
      <w:pPr>
        <w:pStyle w:val="Paragraph"/>
        <w:spacing w:line="240" w:lineRule="auto"/>
      </w:pPr>
      <w:r>
        <w:rPr>
          <w:rFonts w:ascii="Times New Roman" w:hAnsi="Times New Roman" w:eastAsia="Times New Roman"/>
          <w:sz w:val="22"/>
        </w:rPr>
        <w:t>☐ Re-run all sample counts, cleaning checks, outcome prevalence, and model metrics from the final script; do not treat placeholders as results.</w:t>
      </w:r>
    </w:p>
    <w:p>
      <w:pPr>
        <w:pStyle w:val="Paragraph"/>
        <w:spacing w:line="240" w:lineRule="auto"/>
      </w:pPr>
      <w:r>
        <w:rPr>
          <w:rFonts w:ascii="Times New Roman" w:hAnsi="Times New Roman" w:eastAsia="Times New Roman"/>
          <w:sz w:val="22"/>
        </w:rPr>
        <w:t>☐ Check prediction leakage, fold-specific preprocessing/WOE, rare bins, and the untouched test evaluation.</w:t>
      </w:r>
    </w:p>
    <w:p>
      <w:pPr>
        <w:pStyle w:val="Paragraph"/>
        <w:spacing w:line="240" w:lineRule="auto"/>
      </w:pPr>
      <w:r>
        <w:rPr>
          <w:rFonts w:ascii="Times New Roman" w:hAnsi="Times New Roman" w:eastAsia="Times New Roman"/>
          <w:sz w:val="22"/>
        </w:rPr>
        <w:t>☐ Document the treatment of FWT/WEIND or other relevant survey weights, PSU, and STRATA.</w:t>
      </w:r>
    </w:p>
    <w:p>
      <w:pPr>
        <w:pStyle w:val="Paragraph"/>
        <w:spacing w:line="240" w:lineRule="auto"/>
      </w:pPr>
      <w:r>
        <w:rPr>
          <w:rFonts w:ascii="Times New Roman" w:hAnsi="Times New Roman" w:eastAsia="Times New Roman"/>
          <w:sz w:val="22"/>
        </w:rPr>
        <w:t>☐ Confirm the journal's current SINTA level (at least SINTA 4 under the course rule), scope, author guidelines, and submission deadline.</w:t>
      </w:r>
    </w:p>
    <w:p>
      <w:pPr>
        <w:pStyle w:val="Paragraph"/>
        <w:spacing w:line="240" w:lineRule="auto"/>
      </w:pPr>
      <w:r>
        <w:rPr>
          <w:rFonts w:ascii="Times New Roman" w:hAnsi="Times New Roman" w:eastAsia="Times New Roman"/>
          <w:sz w:val="22"/>
        </w:rPr>
        <w:t>☐ Obtain lecturer/assistant review and approval before submission; agree author order and include required names in accordance with journal policy.</w:t>
      </w:r>
    </w:p>
    <w:p>
      <w:pPr>
        <w:pStyle w:val="Paragraph"/>
        <w:spacing w:line="240" w:lineRule="auto"/>
      </w:pPr>
      <w:r>
        <w:rPr>
          <w:rFonts w:ascii="Times New Roman" w:hAnsi="Times New Roman" w:eastAsia="Times New Roman"/>
          <w:sz w:val="22"/>
        </w:rPr>
        <w:t>☐ Save dated evidence that the paper was submitted and is Under Review before the grade-entry deadline; confirm acceptable proof with the instructor.</w:t>
      </w:r>
    </w:p>
    <w:p>
      <w:pPr>
        <w:pStyle w:val="Paragraph"/>
        <w:spacing w:line="240" w:lineRule="auto"/>
      </w:pPr>
      <w:r>
        <w:rPr>
          <w:rFonts w:ascii="Times New Roman" w:hAnsi="Times New Roman" w:eastAsia="Times New Roman"/>
          <w:sz w:val="22"/>
        </w:rPr>
        <w:t>☐ Record each group member's contributions; every member should be ready to present and explain the whole pipeline in the oral examination.</w:t>
      </w:r>
    </w:p>
    <w:p>
      <w:pPr>
        <w:pStyle w:val="Paragraph"/>
        <w:spacing w:line="240" w:lineRule="auto"/>
      </w:pPr>
      <w:r>
        <w:rPr>
          <w:rFonts w:ascii="Times New Roman" w:hAnsi="Times New Roman" w:eastAsia="Times New Roman"/>
          <w:sz w:val="22"/>
        </w:rPr>
        <w:t>☐ Before journal submission, remove this checklist and every highlighted bracketed instruction, then check the final file against the current journal template/guidelines.</w:t>
      </w:r>
    </w:p>
    <w:sectPr w:rsidR="005C078A" w:rsidRPr="00C33C4E" w:rsidSect="00C51B35">
      <w:headerReference w:type="even" r:id="rId14"/>
      <w:headerReference w:type="default" r:id="rId15"/>
      <w:headerReference w:type="first" r:id="rId16"/>
      <w:footerReference w:type="first" r:id="rId17"/>
      <w:pgSz w:w="11907" w:h="16840" w:code="9"/>
      <w:pgMar w:top="1701"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03886D" w14:textId="77777777" w:rsidR="00E56F20" w:rsidRDefault="00E56F20" w:rsidP="0039261C">
      <w:r>
        <w:separator/>
      </w:r>
    </w:p>
  </w:endnote>
  <w:endnote w:type="continuationSeparator" w:id="0">
    <w:p w14:paraId="0EB0C964" w14:textId="77777777" w:rsidR="00E56F20" w:rsidRDefault="00E56F20" w:rsidP="00392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3C490F" w14:textId="136DC610" w:rsidR="00194E09" w:rsidRPr="00344B9D" w:rsidRDefault="00194E09" w:rsidP="00194E09">
    <w:pPr>
      <w:pStyle w:val="Footer"/>
      <w:rPr>
        <w:i/>
        <w:iCs/>
        <w:sz w:val="20"/>
        <w:szCs w:val="18"/>
      </w:rPr>
    </w:pPr>
    <w:r w:rsidRPr="00344B9D">
      <w:rPr>
        <w:noProof/>
        <w:sz w:val="20"/>
        <w:szCs w:val="18"/>
      </w:rPr>
      <mc:AlternateContent>
        <mc:Choice Requires="wps">
          <w:drawing>
            <wp:anchor distT="0" distB="0" distL="114300" distR="114300" simplePos="0" relativeHeight="251659264" behindDoc="0" locked="0" layoutInCell="1" allowOverlap="1" wp14:anchorId="113B817D" wp14:editId="652CE596">
              <wp:simplePos x="0" y="0"/>
              <wp:positionH relativeFrom="margin">
                <wp:posOffset>100965</wp:posOffset>
              </wp:positionH>
              <wp:positionV relativeFrom="margin">
                <wp:posOffset>7576185</wp:posOffset>
              </wp:positionV>
              <wp:extent cx="5537200" cy="762000"/>
              <wp:effectExtent l="0" t="0" r="25400" b="19050"/>
              <wp:wrapSquare wrapText="bothSides"/>
              <wp:docPr id="1" name="Rectangle: Diagonal Corners Rounded 1"/>
              <wp:cNvGraphicFramePr/>
              <a:graphic xmlns:a="http://schemas.openxmlformats.org/drawingml/2006/main">
                <a:graphicData uri="http://schemas.microsoft.com/office/word/2010/wordprocessingShape">
                  <wps:wsp>
                    <wps:cNvSpPr/>
                    <wps:spPr>
                      <a:xfrm>
                        <a:off x="0" y="0"/>
                        <a:ext cx="5537200" cy="762000"/>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7E6D16" w14:textId="77777777" w:rsidR="00694A80" w:rsidRPr="00507582" w:rsidRDefault="00694A80" w:rsidP="00694A80">
                          <w:pPr>
                            <w:pStyle w:val="Footer"/>
                            <w:rPr>
                              <w:i/>
                              <w:iCs/>
                              <w:color w:val="000000" w:themeColor="text1"/>
                              <w:sz w:val="20"/>
                              <w:szCs w:val="18"/>
                            </w:rPr>
                          </w:pPr>
                          <w:r w:rsidRPr="00507582">
                            <w:rPr>
                              <w:i/>
                              <w:iCs/>
                              <w:color w:val="000000" w:themeColor="text1"/>
                              <w:sz w:val="20"/>
                              <w:szCs w:val="18"/>
                            </w:rPr>
                            <w:t>How to cite this article:</w:t>
                          </w:r>
                        </w:p>
                        <w:p w14:paraId="66361AF1" w14:textId="37673E26" w:rsidR="00507582" w:rsidRPr="00507582" w:rsidRDefault="00694A80" w:rsidP="00694A80">
                          <w:pPr>
                            <w:pStyle w:val="Footer"/>
                            <w:rPr>
                              <w:color w:val="000000" w:themeColor="text1"/>
                              <w:sz w:val="20"/>
                              <w:szCs w:val="18"/>
                            </w:rPr>
                          </w:pPr>
                          <w:r w:rsidRPr="00507582">
                            <w:rPr>
                              <w:color w:val="000000" w:themeColor="text1"/>
                              <w:sz w:val="20"/>
                              <w:szCs w:val="18"/>
                            </w:rPr>
                            <w:t>Author(s), “ARTICLE TITLE”, Journal Statistika dan Aplikasinya, vol. x, iss. x, pp. xx – xx, Month, 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B817D" id="Rectangle: Diagonal Corners Rounded 1" o:spid="_x0000_s1030" style="position:absolute;left:0;text-align:left;margin-left:7.95pt;margin-top:596.55pt;width:436pt;height:6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5537200,76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" adj="-11796480,,5400" path="m127003,l5537200,r,l5537200,634997v,70142,-56861,127003,-127003,127003l,762000r,l,127003c,56861,56861,,127003,xe" filled="f" strokecolor="#a02b93 [3208]" strokeweight="1pt">
              <v:stroke joinstyle="miter"/>
              <v:formulas/>
              <v:path arrowok="t" o:connecttype="custom" o:connectlocs="127003,0;5537200,0;5537200,0;5537200,634997;5410197,762000;0,762000;0,762000;0,127003;127003,0" o:connectangles="0,0,0,0,0,0,0,0,0" textboxrect="0,0,5537200,762000"/>
              <v:textbox>
                <w:txbxContent>
                  <w:p w14:paraId="147E6D16" w14:textId="77777777" w:rsidR="00694A80" w:rsidRPr="00507582" w:rsidRDefault="00694A80" w:rsidP="00694A80">
                    <w:pPr>
                      <w:pStyle w:val="Footer"/>
                      <w:rPr>
                        <w:i/>
                        <w:iCs/>
                        <w:color w:val="000000" w:themeColor="text1"/>
                        <w:sz w:val="20"/>
                        <w:szCs w:val="18"/>
                      </w:rPr>
                    </w:pPr>
                    <w:r w:rsidRPr="00507582">
                      <w:rPr>
                        <w:i/>
                        <w:iCs/>
                        <w:color w:val="000000" w:themeColor="text1"/>
                        <w:sz w:val="20"/>
                        <w:szCs w:val="18"/>
                      </w:rPr>
                      <w:t>How to cite this article:</w:t>
                    </w:r>
                  </w:p>
                  <w:p w14:paraId="66361AF1" w14:textId="37673E26" w:rsidR="00507582" w:rsidRPr="00507582" w:rsidRDefault="00694A80" w:rsidP="00694A80">
                    <w:pPr>
                      <w:pStyle w:val="Footer"/>
                      <w:rPr>
                        <w:color w:val="000000" w:themeColor="text1"/>
                        <w:sz w:val="20"/>
                        <w:szCs w:val="18"/>
                      </w:rPr>
                    </w:pPr>
                    <w:r w:rsidRPr="00507582">
                      <w:rPr>
                        <w:color w:val="000000" w:themeColor="text1"/>
                        <w:sz w:val="20"/>
                        <w:szCs w:val="18"/>
                      </w:rPr>
                      <w:t>Author(s), “ARTICLE TITLE”, Journal Statistika dan Aplikasinya, vol. x, iss. x, pp. xx – xx, Month, Year</w:t>
                    </w:r>
                  </w:p>
                </w:txbxContent>
              </v:textbox>
              <w10:wrap type="square" anchorx="margin" anchory="margin"/>
            </v:shape>
          </w:pict>
        </mc:Fallback>
      </mc:AlternateContent>
    </w:r>
    <w:r w:rsidRPr="00344B9D">
      <w:rPr>
        <w:i/>
        <w:iCs/>
        <w:sz w:val="20"/>
        <w:szCs w:val="18"/>
      </w:rPr>
      <w:t>Copyright © 2024 Author(s)</w:t>
    </w:r>
  </w:p>
  <w:p w14:paraId="66CB8A81" w14:textId="57D25232" w:rsidR="00194E09" w:rsidRPr="00344B9D" w:rsidRDefault="00194E09" w:rsidP="00194E09">
    <w:pPr>
      <w:pStyle w:val="Footer"/>
      <w:rPr>
        <w:sz w:val="20"/>
        <w:szCs w:val="18"/>
      </w:rPr>
    </w:pPr>
    <w:r w:rsidRPr="00344B9D">
      <w:rPr>
        <w:sz w:val="20"/>
        <w:szCs w:val="18"/>
      </w:rPr>
      <w:t xml:space="preserve">Journal homepage: </w:t>
    </w:r>
    <w:hyperlink r:id="rId1" w:history="1">
      <w:r w:rsidRPr="00344B9D">
        <w:rPr>
          <w:rStyle w:val="Hyperlink"/>
          <w:i/>
          <w:iCs/>
          <w:color w:val="77206D"/>
          <w:sz w:val="20"/>
          <w:szCs w:val="18"/>
        </w:rPr>
        <w:t>https://journal.unj.ac.id/unj/index.php/statistika</w:t>
      </w:r>
    </w:hyperlink>
    <w:r w:rsidRPr="00344B9D">
      <w:rPr>
        <w:sz w:val="20"/>
        <w:szCs w:val="18"/>
      </w:rPr>
      <w:t xml:space="preserve"> </w:t>
    </w:r>
  </w:p>
  <w:p w14:paraId="298D70B3" w14:textId="073FB693" w:rsidR="00194E09" w:rsidRPr="00344B9D" w:rsidRDefault="00194E09" w:rsidP="00194E09">
    <w:pPr>
      <w:pStyle w:val="Footer"/>
      <w:rPr>
        <w:i/>
        <w:iCs/>
      </w:rPr>
    </w:pPr>
    <w:r w:rsidRPr="00344B9D">
      <w:rPr>
        <w:sz w:val="20"/>
        <w:szCs w:val="18"/>
      </w:rPr>
      <w:t>Journal e-mail:</w:t>
    </w:r>
    <w:r w:rsidRPr="00344B9D">
      <w:rPr>
        <w:i/>
        <w:iCs/>
        <w:sz w:val="20"/>
        <w:szCs w:val="18"/>
      </w:rPr>
      <w:t xml:space="preserve"> </w:t>
    </w:r>
    <w:hyperlink r:id="rId2" w:history="1">
      <w:r w:rsidRPr="00344B9D">
        <w:rPr>
          <w:rStyle w:val="Hyperlink"/>
          <w:i/>
          <w:iCs/>
          <w:color w:val="77206D"/>
          <w:sz w:val="20"/>
          <w:szCs w:val="18"/>
        </w:rPr>
        <w:t>jsa@unj.ac.id</w:t>
      </w:r>
    </w:hyperlink>
  </w:p>
  <w:p w14:paraId="7659498F" w14:textId="10AA6FBC" w:rsidR="00694A80" w:rsidRPr="00344B9D" w:rsidRDefault="00194E09" w:rsidP="00507582">
    <w:pPr>
      <w:pStyle w:val="Footer"/>
    </w:pPr>
    <w:r w:rsidRPr="00344B9D">
      <w:t xml:space="preserve">Research Article </w:t>
    </w:r>
    <w:r w:rsidRPr="00344B9D">
      <w:rPr>
        <w:rFonts w:ascii="Arial" w:hAnsi="Arial" w:cs="Arial"/>
        <w:sz w:val="23"/>
        <w:szCs w:val="23"/>
        <w:shd w:val="clear" w:color="auto" w:fill="FFFFFF"/>
      </w:rPr>
      <w:t xml:space="preserve">∙ </w:t>
    </w:r>
    <w:r w:rsidRPr="00344B9D">
      <w:rPr>
        <w:color w:val="77206D"/>
        <w:sz w:val="23"/>
        <w:szCs w:val="23"/>
        <w:shd w:val="clear" w:color="auto" w:fill="FFFFFF"/>
      </w:rPr>
      <w:t>Open Access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F74BA3" w14:textId="77777777" w:rsidR="00E56F20" w:rsidRDefault="00E56F20" w:rsidP="0039261C">
      <w:r>
        <w:separator/>
      </w:r>
    </w:p>
  </w:footnote>
  <w:footnote w:type="continuationSeparator" w:id="0">
    <w:p w14:paraId="1A244E58" w14:textId="77777777" w:rsidR="00E56F20" w:rsidRDefault="00E56F20" w:rsidP="00392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405"/>
      <w:gridCol w:w="6090"/>
    </w:tblGrid>
    <w:tr w:rsidR="00C51B35" w14:paraId="25673D3F" w14:textId="77777777" w:rsidTr="006D3A75">
      <w:tc>
        <w:tcPr>
          <w:tcW w:w="567" w:type="dxa"/>
          <w:shd w:val="clear" w:color="auto" w:fill="E59EDC" w:themeFill="accent5" w:themeFillTint="66"/>
        </w:tcPr>
        <w:sdt>
          <w:sdtPr>
            <w:id w:val="-405064904"/>
            <w:docPartObj>
              <w:docPartGallery w:val="Page Numbers (Top of Page)"/>
              <w:docPartUnique/>
            </w:docPartObj>
          </w:sdtPr>
          <w:sdtEndPr>
            <w:rPr>
              <w:noProof/>
            </w:rPr>
          </w:sdtEndPr>
          <w:sdtContent>
            <w:p w14:paraId="1FAA0DAB" w14:textId="77777777" w:rsidR="00C51B35" w:rsidRDefault="00C51B35" w:rsidP="00C51B35">
              <w:pPr>
                <w:pStyle w:val="Header"/>
              </w:pPr>
              <w:r>
                <w:fldChar w:fldCharType="begin"/>
              </w:r>
              <w:r>
                <w:instrText xml:space="preserve"> PAGE   \* MERGEFORMAT </w:instrText>
              </w:r>
              <w:r>
                <w:fldChar w:fldCharType="separate"/>
              </w:r>
              <w:r>
                <w:t>2</w:t>
              </w:r>
              <w:r>
                <w:rPr>
                  <w:noProof/>
                </w:rPr>
                <w:fldChar w:fldCharType="end"/>
              </w:r>
            </w:p>
          </w:sdtContent>
        </w:sdt>
      </w:tc>
      <w:tc>
        <w:tcPr>
          <w:tcW w:w="2405" w:type="dxa"/>
          <w:shd w:val="clear" w:color="auto" w:fill="E59EDC" w:themeFill="accent5" w:themeFillTint="66"/>
        </w:tcPr>
        <w:p w14:paraId="59DB16B6" w14:textId="77777777" w:rsidR="00C51B35" w:rsidRPr="0051555C" w:rsidRDefault="00C51B35" w:rsidP="00C51B35">
          <w:pPr>
            <w:pStyle w:val="Header"/>
            <w:jc w:val="left"/>
            <w:rPr>
              <w:i/>
              <w:iCs/>
            </w:rPr>
          </w:pPr>
          <w:r w:rsidRPr="0051555C">
            <w:rPr>
              <w:i/>
              <w:iCs/>
            </w:rPr>
            <w:t>First Author, et. Al.</w:t>
          </w:r>
        </w:p>
      </w:tc>
      <w:tc>
        <w:tcPr>
          <w:tcW w:w="6090" w:type="dxa"/>
          <w:shd w:val="clear" w:color="auto" w:fill="D9D9D9" w:themeFill="background1" w:themeFillShade="D9"/>
        </w:tcPr>
        <w:p w14:paraId="450329CB" w14:textId="77777777" w:rsidR="00C51B35" w:rsidRPr="0051555C" w:rsidRDefault="00C51B35" w:rsidP="00C51B35">
          <w:pPr>
            <w:pStyle w:val="Header"/>
            <w:rPr>
              <w:i/>
              <w:iCs/>
            </w:rPr>
          </w:pPr>
          <w:r w:rsidRPr="0051555C">
            <w:rPr>
              <w:i/>
              <w:iCs/>
            </w:rPr>
            <w:t>ARTICLE TITLE</w:t>
          </w:r>
        </w:p>
      </w:tc>
    </w:tr>
  </w:tbl>
  <w:p w14:paraId="2C162DFB" w14:textId="77777777" w:rsidR="0051555C" w:rsidRDefault="005155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533"/>
    </w:tblGrid>
    <w:tr w:rsidR="00126462" w14:paraId="6E0E20C7" w14:textId="77777777" w:rsidTr="00126462">
      <w:tc>
        <w:tcPr>
          <w:tcW w:w="5529" w:type="dxa"/>
          <w:shd w:val="clear" w:color="auto" w:fill="E59EDC" w:themeFill="accent5" w:themeFillTint="66"/>
        </w:tcPr>
        <w:p w14:paraId="63F68DC3" w14:textId="4FFE2995" w:rsidR="00126462" w:rsidRPr="0051555C" w:rsidRDefault="00126462" w:rsidP="00126462">
          <w:pPr>
            <w:pStyle w:val="Header"/>
            <w:rPr>
              <w:i/>
              <w:iCs/>
            </w:rPr>
          </w:pPr>
          <w:r w:rsidRPr="00126462">
            <w:rPr>
              <w:i/>
              <w:iCs/>
              <w:sz w:val="20"/>
              <w:szCs w:val="18"/>
            </w:rPr>
            <w:t xml:space="preserve">Jurnal Statistika dan Aplikasinya, vol. </w:t>
          </w:r>
          <w:r>
            <w:rPr>
              <w:i/>
              <w:iCs/>
              <w:sz w:val="20"/>
              <w:szCs w:val="18"/>
            </w:rPr>
            <w:t>x</w:t>
          </w:r>
          <w:r w:rsidRPr="00126462">
            <w:rPr>
              <w:i/>
              <w:iCs/>
              <w:sz w:val="20"/>
              <w:szCs w:val="18"/>
            </w:rPr>
            <w:t>(</w:t>
          </w:r>
          <w:r>
            <w:rPr>
              <w:i/>
              <w:iCs/>
              <w:sz w:val="20"/>
              <w:szCs w:val="18"/>
            </w:rPr>
            <w:t>x</w:t>
          </w:r>
          <w:r w:rsidRPr="00126462">
            <w:rPr>
              <w:i/>
              <w:iCs/>
              <w:sz w:val="20"/>
              <w:szCs w:val="18"/>
            </w:rPr>
            <w:t>), pp</w:t>
          </w:r>
          <w:r>
            <w:rPr>
              <w:i/>
              <w:iCs/>
              <w:sz w:val="20"/>
              <w:szCs w:val="18"/>
            </w:rPr>
            <w:t xml:space="preserve"> xx – xx, Month, Year</w:t>
          </w:r>
        </w:p>
      </w:tc>
      <w:tc>
        <w:tcPr>
          <w:tcW w:w="3533" w:type="dxa"/>
          <w:shd w:val="clear" w:color="auto" w:fill="D9D9D9" w:themeFill="background1" w:themeFillShade="D9"/>
        </w:tcPr>
        <w:p w14:paraId="04A94D7B" w14:textId="54E85944" w:rsidR="00126462" w:rsidRPr="00126462" w:rsidRDefault="00E56F20" w:rsidP="00126462">
          <w:pPr>
            <w:pStyle w:val="Header"/>
            <w:jc w:val="right"/>
            <w:rPr>
              <w:noProof/>
            </w:rPr>
          </w:pPr>
          <w:sdt>
            <w:sdtPr>
              <w:id w:val="1814526478"/>
              <w:docPartObj>
                <w:docPartGallery w:val="Page Numbers (Top of Page)"/>
                <w:docPartUnique/>
              </w:docPartObj>
            </w:sdtPr>
            <w:sdtEndPr>
              <w:rPr>
                <w:noProof/>
              </w:rPr>
            </w:sdtEndPr>
            <w:sdtContent>
              <w:r w:rsidR="00126462">
                <w:fldChar w:fldCharType="begin"/>
              </w:r>
              <w:r w:rsidR="00126462">
                <w:instrText xml:space="preserve"> PAGE   \* MERGEFORMAT </w:instrText>
              </w:r>
              <w:r w:rsidR="00126462">
                <w:fldChar w:fldCharType="separate"/>
              </w:r>
              <w:r w:rsidR="00126462">
                <w:t>3</w:t>
              </w:r>
              <w:r w:rsidR="00126462">
                <w:rPr>
                  <w:noProof/>
                </w:rPr>
                <w:fldChar w:fldCharType="end"/>
              </w:r>
            </w:sdtContent>
          </w:sdt>
        </w:p>
      </w:tc>
    </w:tr>
  </w:tbl>
  <w:p w14:paraId="49AF41C7" w14:textId="77777777" w:rsidR="0051555C" w:rsidRDefault="0051555C" w:rsidP="005155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5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3702"/>
      <w:gridCol w:w="5461"/>
    </w:tblGrid>
    <w:tr w:rsidR="0051555C" w:rsidRPr="00EE622A" w14:paraId="099634C7" w14:textId="77777777" w:rsidTr="006D3A75">
      <w:trPr>
        <w:trHeight w:val="333"/>
      </w:trPr>
      <w:tc>
        <w:tcPr>
          <w:tcW w:w="3702" w:type="dxa"/>
          <w:tcBorders>
            <w:bottom w:val="single" w:sz="12" w:space="0" w:color="auto"/>
            <w:right w:val="nil"/>
          </w:tcBorders>
          <w:vAlign w:val="center"/>
        </w:tcPr>
        <w:p w14:paraId="3937F793" w14:textId="77777777" w:rsidR="0051555C" w:rsidRPr="00EE622A" w:rsidRDefault="0051555C" w:rsidP="0051555C">
          <w:pPr>
            <w:ind w:left="41" w:firstLine="1"/>
            <w:rPr>
              <w:b/>
              <w:sz w:val="20"/>
              <w:lang w:val="id-ID"/>
            </w:rPr>
          </w:pPr>
          <w:bookmarkStart w:id="2" w:name="_Hlk60256533"/>
          <w:bookmarkStart w:id="3" w:name="_Hlk60256534"/>
          <w:bookmarkStart w:id="4" w:name="_Hlk44772145"/>
          <w:bookmarkStart w:id="5" w:name="_Hlk44772144"/>
          <w:bookmarkStart w:id="6" w:name="_Hlk40076720"/>
          <w:bookmarkStart w:id="7" w:name="_Hlk40076719"/>
          <w:bookmarkStart w:id="8" w:name="_Hlk40076502"/>
          <w:bookmarkStart w:id="9" w:name="_Hlk40076501"/>
          <w:bookmarkStart w:id="10" w:name="_Hlk75871988"/>
          <w:bookmarkStart w:id="11" w:name="_Hlk174361668"/>
          <w:r>
            <w:tab/>
          </w:r>
          <w:r>
            <w:tab/>
          </w:r>
          <w:r>
            <w:tab/>
          </w:r>
          <w:r>
            <w:tab/>
          </w:r>
          <w:bookmarkEnd w:id="2"/>
          <w:bookmarkEnd w:id="3"/>
          <w:bookmarkEnd w:id="4"/>
          <w:bookmarkEnd w:id="5"/>
          <w:bookmarkEnd w:id="6"/>
          <w:bookmarkEnd w:id="7"/>
          <w:bookmarkEnd w:id="8"/>
          <w:bookmarkEnd w:id="9"/>
          <w:bookmarkEnd w:id="10"/>
        </w:p>
      </w:tc>
      <w:tc>
        <w:tcPr>
          <w:tcW w:w="5461" w:type="dxa"/>
          <w:tcBorders>
            <w:left w:val="nil"/>
            <w:bottom w:val="single" w:sz="12" w:space="0" w:color="auto"/>
          </w:tcBorders>
          <w:vAlign w:val="center"/>
        </w:tcPr>
        <w:p w14:paraId="3321A0AA" w14:textId="77777777" w:rsidR="0051555C" w:rsidRDefault="0051555C" w:rsidP="0051555C">
          <w:pPr>
            <w:pStyle w:val="Header"/>
            <w:spacing w:line="276" w:lineRule="auto"/>
            <w:jc w:val="right"/>
            <w:rPr>
              <w:b/>
            </w:rPr>
          </w:pPr>
          <w:r w:rsidRPr="00EE622A">
            <w:t xml:space="preserve">e-ISSN </w:t>
          </w:r>
          <w:r>
            <w:t>2620</w:t>
          </w:r>
          <w:r w:rsidRPr="00EE622A">
            <w:t xml:space="preserve"> –</w:t>
          </w:r>
          <w:r>
            <w:t xml:space="preserve"> 8369</w:t>
          </w:r>
        </w:p>
        <w:p w14:paraId="2C1D6091" w14:textId="405E532C" w:rsidR="0051555C" w:rsidRPr="00EE622A" w:rsidRDefault="009A1510" w:rsidP="0051555C">
          <w:pPr>
            <w:pStyle w:val="Header"/>
            <w:spacing w:line="276" w:lineRule="auto"/>
            <w:jc w:val="right"/>
            <w:rPr>
              <w:b/>
            </w:rPr>
          </w:pPr>
          <w:r>
            <w:rPr>
              <w:noProof/>
            </w:rPr>
            <w:drawing>
              <wp:anchor distT="0" distB="0" distL="114300" distR="114300" simplePos="0" relativeHeight="251662336" behindDoc="0" locked="0" layoutInCell="1" allowOverlap="1" wp14:anchorId="589B3FD9" wp14:editId="57594AAA">
                <wp:simplePos x="0" y="0"/>
                <wp:positionH relativeFrom="column">
                  <wp:posOffset>1018540</wp:posOffset>
                </wp:positionH>
                <wp:positionV relativeFrom="paragraph">
                  <wp:posOffset>155575</wp:posOffset>
                </wp:positionV>
                <wp:extent cx="212090" cy="21209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9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555C">
            <w:rPr>
              <w:b/>
            </w:rPr>
            <w:t>VOLUME</w:t>
          </w:r>
          <w:r w:rsidR="0051555C" w:rsidRPr="00EE622A">
            <w:rPr>
              <w:b/>
            </w:rPr>
            <w:t xml:space="preserve"> </w:t>
          </w:r>
          <w:r w:rsidR="005F3BCD">
            <w:rPr>
              <w:b/>
            </w:rPr>
            <w:t>X</w:t>
          </w:r>
          <w:r w:rsidR="0051555C">
            <w:rPr>
              <w:b/>
            </w:rPr>
            <w:t xml:space="preserve"> </w:t>
          </w:r>
          <w:r w:rsidR="0051555C" w:rsidRPr="00EE622A">
            <w:rPr>
              <w:b/>
            </w:rPr>
            <w:t>(</w:t>
          </w:r>
          <w:r w:rsidR="0051555C">
            <w:rPr>
              <w:b/>
            </w:rPr>
            <w:t xml:space="preserve">ISSUE </w:t>
          </w:r>
          <w:r w:rsidR="005F3BCD">
            <w:rPr>
              <w:b/>
            </w:rPr>
            <w:t>X</w:t>
          </w:r>
          <w:r w:rsidR="0051555C" w:rsidRPr="00EE622A">
            <w:rPr>
              <w:b/>
            </w:rPr>
            <w:t xml:space="preserve">) </w:t>
          </w:r>
          <w:r w:rsidR="004A5073">
            <w:rPr>
              <w:b/>
            </w:rPr>
            <w:t>MONTH</w:t>
          </w:r>
          <w:r w:rsidR="0051555C">
            <w:rPr>
              <w:b/>
            </w:rPr>
            <w:t xml:space="preserve"> </w:t>
          </w:r>
          <w:r w:rsidR="004A5073">
            <w:rPr>
              <w:b/>
            </w:rPr>
            <w:t>YEAR: XX-XX</w:t>
          </w:r>
        </w:p>
        <w:p w14:paraId="7E0E6719" w14:textId="5F9BA531" w:rsidR="0051555C" w:rsidRPr="00CE71CC" w:rsidRDefault="009A1510" w:rsidP="0051555C">
          <w:pPr>
            <w:pStyle w:val="Header"/>
            <w:jc w:val="right"/>
            <w:rPr>
              <w:rFonts w:ascii="Arial" w:hAnsi="Arial" w:cs="Arial"/>
              <w:bCs/>
              <w:i/>
              <w:iCs/>
              <w:color w:val="4F81BD"/>
              <w:sz w:val="20"/>
            </w:rPr>
          </w:pPr>
          <w:r w:rsidRPr="00194E09">
            <w:rPr>
              <w:color w:val="77206D"/>
            </w:rPr>
            <w:t>https://doi.org/10.21009/JSA.081XX</w:t>
          </w:r>
        </w:p>
      </w:tc>
    </w:tr>
  </w:tbl>
  <w:bookmarkEnd w:id="11"/>
  <w:p w14:paraId="108FF80E" w14:textId="126824F4" w:rsidR="00694A80" w:rsidRPr="0051555C" w:rsidRDefault="0051555C" w:rsidP="0051555C">
    <w:pPr>
      <w:tabs>
        <w:tab w:val="center" w:pos="4535"/>
        <w:tab w:val="left" w:pos="5475"/>
        <w:tab w:val="left" w:pos="5685"/>
        <w:tab w:val="left" w:pos="6435"/>
        <w:tab w:val="right" w:pos="9071"/>
      </w:tabs>
      <w:spacing w:line="200" w:lineRule="exact"/>
    </w:pPr>
    <w:r>
      <w:rPr>
        <w:noProof/>
      </w:rPr>
      <w:drawing>
        <wp:anchor distT="0" distB="0" distL="114300" distR="114300" simplePos="0" relativeHeight="251661312" behindDoc="1" locked="0" layoutInCell="1" allowOverlap="1" wp14:anchorId="01EF6DC2" wp14:editId="59525D4D">
          <wp:simplePos x="0" y="0"/>
          <wp:positionH relativeFrom="column">
            <wp:posOffset>-1833</wp:posOffset>
          </wp:positionH>
          <wp:positionV relativeFrom="paragraph">
            <wp:posOffset>-752858</wp:posOffset>
          </wp:positionV>
          <wp:extent cx="1981835" cy="759980"/>
          <wp:effectExtent l="0" t="0" r="0" b="2540"/>
          <wp:wrapNone/>
          <wp:docPr id="1293270766" name="Picture 4" descr="A logo with purpl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70766" name="Picture 4" descr="A logo with purple text&#10;&#10;Description automatically generated"/>
                  <pic:cNvPicPr>
                    <a:picLocks noChangeAspect="1" noChangeArrowheads="1"/>
                  </pic:cNvPicPr>
                </pic:nvPicPr>
                <pic:blipFill rotWithShape="1">
                  <a:blip r:embed="rId2">
                    <a:extLst>
                      <a:ext uri="{28A0092B-C50C-407E-A947-70E740481C1C}">
                        <a14:useLocalDpi xmlns:a14="http://schemas.microsoft.com/office/drawing/2010/main" val="0"/>
                      </a:ext>
                    </a:extLst>
                  </a:blip>
                  <a:srcRect t="15798" b="15993"/>
                  <a:stretch/>
                </pic:blipFill>
                <pic:spPr bwMode="auto">
                  <a:xfrm>
                    <a:off x="0" y="0"/>
                    <a:ext cx="2001388" cy="7674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DF3591"/>
    <w:multiLevelType w:val="hybridMultilevel"/>
    <w:tmpl w:val="C318E2FE"/>
    <w:lvl w:ilvl="0" w:tplc="DE2E1B18">
      <w:start w:val="1"/>
      <w:numFmt w:val="decimal"/>
      <w:lvlText w:val="%1."/>
      <w:lvlJc w:val="left"/>
      <w:pPr>
        <w:ind w:left="900" w:hanging="54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2" w15:restartNumberingAfterBreak="0">
    <w:nsid w:val="20A9320F"/>
    <w:multiLevelType w:val="multilevel"/>
    <w:tmpl w:val="5BF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3A6628D3"/>
    <w:multiLevelType w:val="hybridMultilevel"/>
    <w:tmpl w:val="D2ACA942"/>
    <w:lvl w:ilvl="0" w:tplc="D090A394">
      <w:start w:val="1"/>
      <w:numFmt w:val="decimal"/>
      <w:lvlText w:val="%1."/>
      <w:lvlJc w:val="left"/>
      <w:pPr>
        <w:ind w:left="720" w:hanging="360"/>
      </w:pPr>
      <w:rPr>
        <w:rFonts w:hint="default"/>
        <w:b/>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7EC77ED"/>
    <w:multiLevelType w:val="multilevel"/>
    <w:tmpl w:val="439891F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A090CB8"/>
    <w:multiLevelType w:val="multilevel"/>
    <w:tmpl w:val="27E4A4D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6374297A"/>
    <w:multiLevelType w:val="multilevel"/>
    <w:tmpl w:val="37424B98"/>
    <w:name w:val="Equations"/>
    <w:lvl w:ilvl="0">
      <w:start w:val="1"/>
      <w:numFmt w:val="decimal"/>
      <w:lvlText w:val="(%1)"/>
      <w:lvlJc w:val="left"/>
      <w:rPr>
        <w:rFonts w:hint="default"/>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8" w15:restartNumberingAfterBreak="0">
    <w:nsid w:val="67765BD7"/>
    <w:multiLevelType w:val="multilevel"/>
    <w:tmpl w:val="3FC6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21692"/>
    <w:multiLevelType w:val="singleLevel"/>
    <w:tmpl w:val="8BC68E6C"/>
    <w:lvl w:ilvl="0">
      <w:start w:val="1"/>
      <w:numFmt w:val="decimal"/>
      <w:pStyle w:val="Paragraphnumbered"/>
      <w:lvlText w:val="%1."/>
      <w:lvlJc w:val="left"/>
      <w:pPr>
        <w:ind w:left="644" w:hanging="360"/>
      </w:pPr>
      <w:rPr>
        <w:rFonts w:hint="default"/>
      </w:rPr>
    </w:lvl>
  </w:abstractNum>
  <w:abstractNum w:abstractNumId="10" w15:restartNumberingAfterBreak="0">
    <w:nsid w:val="7AA97E4A"/>
    <w:multiLevelType w:val="multilevel"/>
    <w:tmpl w:val="21562CB0"/>
    <w:name w:val="/#"/>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36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11" w15:restartNumberingAfterBreak="0">
    <w:nsid w:val="7C71546F"/>
    <w:multiLevelType w:val="multilevel"/>
    <w:tmpl w:val="EA2C52C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abstractNumId w:val="3"/>
  </w:num>
  <w:num w:numId="2">
    <w:abstractNumId w:val="9"/>
  </w:num>
  <w:num w:numId="3">
    <w:abstractNumId w:val="7"/>
  </w:num>
  <w:num w:numId="4">
    <w:abstractNumId w:val="2"/>
  </w:num>
  <w:num w:numId="5">
    <w:abstractNumId w:val="8"/>
  </w:num>
  <w:num w:numId="6">
    <w:abstractNumId w:val="5"/>
  </w:num>
  <w:num w:numId="7">
    <w:abstractNumId w:val="6"/>
  </w:num>
  <w:num w:numId="8">
    <w:abstractNumId w:val="4"/>
  </w:num>
  <w:num w:numId="9">
    <w:abstractNumId w:val="0"/>
  </w:num>
  <w:num w:numId="10">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intPostScriptOverText/>
  <w:embedSystemFonts/>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evenAndOddHeaders/>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227"/>
    <w:rsid w:val="00000290"/>
    <w:rsid w:val="000013DD"/>
    <w:rsid w:val="00010B2E"/>
    <w:rsid w:val="00014140"/>
    <w:rsid w:val="00024059"/>
    <w:rsid w:val="00031EC9"/>
    <w:rsid w:val="000344A7"/>
    <w:rsid w:val="00036328"/>
    <w:rsid w:val="00037CC8"/>
    <w:rsid w:val="00042547"/>
    <w:rsid w:val="00050D31"/>
    <w:rsid w:val="0005103A"/>
    <w:rsid w:val="00056E3D"/>
    <w:rsid w:val="00065605"/>
    <w:rsid w:val="000659E6"/>
    <w:rsid w:val="00066FED"/>
    <w:rsid w:val="0007412F"/>
    <w:rsid w:val="000753CE"/>
    <w:rsid w:val="00075EA6"/>
    <w:rsid w:val="0007709F"/>
    <w:rsid w:val="000808B1"/>
    <w:rsid w:val="000830C5"/>
    <w:rsid w:val="00086F62"/>
    <w:rsid w:val="0009320B"/>
    <w:rsid w:val="00096AE0"/>
    <w:rsid w:val="000A3E6D"/>
    <w:rsid w:val="000A5D14"/>
    <w:rsid w:val="000A6038"/>
    <w:rsid w:val="000A7889"/>
    <w:rsid w:val="000B0A50"/>
    <w:rsid w:val="000B1B74"/>
    <w:rsid w:val="000B32A0"/>
    <w:rsid w:val="000B3A2D"/>
    <w:rsid w:val="000B49C0"/>
    <w:rsid w:val="000B5C07"/>
    <w:rsid w:val="000B777A"/>
    <w:rsid w:val="000C20E8"/>
    <w:rsid w:val="000C7904"/>
    <w:rsid w:val="000D0EB0"/>
    <w:rsid w:val="000D0F9C"/>
    <w:rsid w:val="000E382F"/>
    <w:rsid w:val="000E4298"/>
    <w:rsid w:val="000F1EDB"/>
    <w:rsid w:val="000F57DB"/>
    <w:rsid w:val="00101A42"/>
    <w:rsid w:val="00102CFB"/>
    <w:rsid w:val="001036BA"/>
    <w:rsid w:val="0010612C"/>
    <w:rsid w:val="00110510"/>
    <w:rsid w:val="001146DC"/>
    <w:rsid w:val="00114AB1"/>
    <w:rsid w:val="00116C4C"/>
    <w:rsid w:val="001230FF"/>
    <w:rsid w:val="00124D8B"/>
    <w:rsid w:val="001250BF"/>
    <w:rsid w:val="00126462"/>
    <w:rsid w:val="00130BD7"/>
    <w:rsid w:val="00135AD9"/>
    <w:rsid w:val="001444CC"/>
    <w:rsid w:val="001515C3"/>
    <w:rsid w:val="00155B67"/>
    <w:rsid w:val="001562AF"/>
    <w:rsid w:val="00161A5B"/>
    <w:rsid w:val="0016385D"/>
    <w:rsid w:val="001677E3"/>
    <w:rsid w:val="0016782F"/>
    <w:rsid w:val="001772EA"/>
    <w:rsid w:val="00183B84"/>
    <w:rsid w:val="00185E97"/>
    <w:rsid w:val="00190512"/>
    <w:rsid w:val="001937E9"/>
    <w:rsid w:val="00193B53"/>
    <w:rsid w:val="00194E09"/>
    <w:rsid w:val="0019655B"/>
    <w:rsid w:val="001A269A"/>
    <w:rsid w:val="001A3361"/>
    <w:rsid w:val="001A491E"/>
    <w:rsid w:val="001A7F86"/>
    <w:rsid w:val="001B263B"/>
    <w:rsid w:val="001B354C"/>
    <w:rsid w:val="001B476A"/>
    <w:rsid w:val="001C5AB3"/>
    <w:rsid w:val="001C764F"/>
    <w:rsid w:val="001C7BB3"/>
    <w:rsid w:val="001D3231"/>
    <w:rsid w:val="001D469C"/>
    <w:rsid w:val="001D637F"/>
    <w:rsid w:val="001D7383"/>
    <w:rsid w:val="001E1B62"/>
    <w:rsid w:val="001F5195"/>
    <w:rsid w:val="00210444"/>
    <w:rsid w:val="00217229"/>
    <w:rsid w:val="0022067F"/>
    <w:rsid w:val="002255D7"/>
    <w:rsid w:val="0023171B"/>
    <w:rsid w:val="00234ED8"/>
    <w:rsid w:val="00236BFC"/>
    <w:rsid w:val="00237437"/>
    <w:rsid w:val="002430E7"/>
    <w:rsid w:val="002458ED"/>
    <w:rsid w:val="002502FD"/>
    <w:rsid w:val="002509EB"/>
    <w:rsid w:val="002545EF"/>
    <w:rsid w:val="00256F48"/>
    <w:rsid w:val="002614AE"/>
    <w:rsid w:val="00265B86"/>
    <w:rsid w:val="00274622"/>
    <w:rsid w:val="00276FC3"/>
    <w:rsid w:val="00280734"/>
    <w:rsid w:val="00285D24"/>
    <w:rsid w:val="00287173"/>
    <w:rsid w:val="00290390"/>
    <w:rsid w:val="002915D3"/>
    <w:rsid w:val="002941DA"/>
    <w:rsid w:val="002A5976"/>
    <w:rsid w:val="002B44F6"/>
    <w:rsid w:val="002B68BB"/>
    <w:rsid w:val="002B77FF"/>
    <w:rsid w:val="002B78E9"/>
    <w:rsid w:val="002C1E9B"/>
    <w:rsid w:val="002C6A6C"/>
    <w:rsid w:val="002E0F02"/>
    <w:rsid w:val="002E1756"/>
    <w:rsid w:val="002E3C35"/>
    <w:rsid w:val="002E40FE"/>
    <w:rsid w:val="002E41D3"/>
    <w:rsid w:val="002E75C2"/>
    <w:rsid w:val="002F5298"/>
    <w:rsid w:val="002F5B42"/>
    <w:rsid w:val="00302EC0"/>
    <w:rsid w:val="00303B6E"/>
    <w:rsid w:val="00303D51"/>
    <w:rsid w:val="00313F34"/>
    <w:rsid w:val="00314E22"/>
    <w:rsid w:val="003362DB"/>
    <w:rsid w:val="00337E4F"/>
    <w:rsid w:val="00340C36"/>
    <w:rsid w:val="00343935"/>
    <w:rsid w:val="00344B9D"/>
    <w:rsid w:val="00346A9D"/>
    <w:rsid w:val="00347E15"/>
    <w:rsid w:val="00347F73"/>
    <w:rsid w:val="00356C1B"/>
    <w:rsid w:val="00360E1F"/>
    <w:rsid w:val="00365FE2"/>
    <w:rsid w:val="003669BB"/>
    <w:rsid w:val="00370C31"/>
    <w:rsid w:val="00375DA1"/>
    <w:rsid w:val="00382314"/>
    <w:rsid w:val="0039261C"/>
    <w:rsid w:val="00392815"/>
    <w:rsid w:val="00393603"/>
    <w:rsid w:val="0039366C"/>
    <w:rsid w:val="0039376F"/>
    <w:rsid w:val="00397BBC"/>
    <w:rsid w:val="003A287B"/>
    <w:rsid w:val="003A5C85"/>
    <w:rsid w:val="003A61B1"/>
    <w:rsid w:val="003B15AA"/>
    <w:rsid w:val="003B6DF5"/>
    <w:rsid w:val="003C167D"/>
    <w:rsid w:val="003D11D1"/>
    <w:rsid w:val="003D3D5E"/>
    <w:rsid w:val="003E2A17"/>
    <w:rsid w:val="003E7C74"/>
    <w:rsid w:val="003F31C6"/>
    <w:rsid w:val="0040225B"/>
    <w:rsid w:val="00402DA2"/>
    <w:rsid w:val="00407EDE"/>
    <w:rsid w:val="00412F89"/>
    <w:rsid w:val="00414648"/>
    <w:rsid w:val="00422ED6"/>
    <w:rsid w:val="00425AC2"/>
    <w:rsid w:val="00425C26"/>
    <w:rsid w:val="00433E49"/>
    <w:rsid w:val="004434A9"/>
    <w:rsid w:val="004466C2"/>
    <w:rsid w:val="0044771F"/>
    <w:rsid w:val="00472E73"/>
    <w:rsid w:val="00474116"/>
    <w:rsid w:val="00474D66"/>
    <w:rsid w:val="004762B9"/>
    <w:rsid w:val="004A5073"/>
    <w:rsid w:val="004A7DD6"/>
    <w:rsid w:val="004B0741"/>
    <w:rsid w:val="004B151D"/>
    <w:rsid w:val="004B311D"/>
    <w:rsid w:val="004B3776"/>
    <w:rsid w:val="004B6391"/>
    <w:rsid w:val="004C067B"/>
    <w:rsid w:val="004C25F9"/>
    <w:rsid w:val="004C7243"/>
    <w:rsid w:val="004C787E"/>
    <w:rsid w:val="004D3591"/>
    <w:rsid w:val="004D6CF3"/>
    <w:rsid w:val="004E21DE"/>
    <w:rsid w:val="004E3C57"/>
    <w:rsid w:val="004E3CB2"/>
    <w:rsid w:val="004E44B0"/>
    <w:rsid w:val="005000BA"/>
    <w:rsid w:val="00507582"/>
    <w:rsid w:val="0051555C"/>
    <w:rsid w:val="00524F10"/>
    <w:rsid w:val="00525813"/>
    <w:rsid w:val="005259A7"/>
    <w:rsid w:val="005333DB"/>
    <w:rsid w:val="0053513F"/>
    <w:rsid w:val="0053669D"/>
    <w:rsid w:val="00540EF3"/>
    <w:rsid w:val="0054484F"/>
    <w:rsid w:val="005629FD"/>
    <w:rsid w:val="005663B9"/>
    <w:rsid w:val="00574405"/>
    <w:rsid w:val="00575D37"/>
    <w:rsid w:val="0057601F"/>
    <w:rsid w:val="00591EE4"/>
    <w:rsid w:val="005A0606"/>
    <w:rsid w:val="005A0E21"/>
    <w:rsid w:val="005A5E9A"/>
    <w:rsid w:val="005B1B30"/>
    <w:rsid w:val="005B256F"/>
    <w:rsid w:val="005B2B9C"/>
    <w:rsid w:val="005B3A34"/>
    <w:rsid w:val="005B3B8C"/>
    <w:rsid w:val="005C02C2"/>
    <w:rsid w:val="005C078A"/>
    <w:rsid w:val="005D038E"/>
    <w:rsid w:val="005D49AF"/>
    <w:rsid w:val="005E415C"/>
    <w:rsid w:val="005E7946"/>
    <w:rsid w:val="005F0D40"/>
    <w:rsid w:val="005F3BCD"/>
    <w:rsid w:val="005F670E"/>
    <w:rsid w:val="005F7475"/>
    <w:rsid w:val="00603A39"/>
    <w:rsid w:val="00611299"/>
    <w:rsid w:val="00616365"/>
    <w:rsid w:val="00616F3B"/>
    <w:rsid w:val="00617872"/>
    <w:rsid w:val="00624165"/>
    <w:rsid w:val="006249A7"/>
    <w:rsid w:val="0062602A"/>
    <w:rsid w:val="0064137B"/>
    <w:rsid w:val="0064225B"/>
    <w:rsid w:val="00642291"/>
    <w:rsid w:val="00642B2E"/>
    <w:rsid w:val="00646609"/>
    <w:rsid w:val="006479A1"/>
    <w:rsid w:val="00653CA7"/>
    <w:rsid w:val="00653FAF"/>
    <w:rsid w:val="0065702B"/>
    <w:rsid w:val="006579F0"/>
    <w:rsid w:val="006601A6"/>
    <w:rsid w:val="00663E50"/>
    <w:rsid w:val="00673DB7"/>
    <w:rsid w:val="00690C46"/>
    <w:rsid w:val="006949BC"/>
    <w:rsid w:val="00694A80"/>
    <w:rsid w:val="00696707"/>
    <w:rsid w:val="00696915"/>
    <w:rsid w:val="0069767B"/>
    <w:rsid w:val="006B049F"/>
    <w:rsid w:val="006B1AE1"/>
    <w:rsid w:val="006C098A"/>
    <w:rsid w:val="006C3E7E"/>
    <w:rsid w:val="006C442C"/>
    <w:rsid w:val="006C5180"/>
    <w:rsid w:val="006C5C28"/>
    <w:rsid w:val="006D0FC1"/>
    <w:rsid w:val="006D1229"/>
    <w:rsid w:val="006D7A18"/>
    <w:rsid w:val="006F39A0"/>
    <w:rsid w:val="00704546"/>
    <w:rsid w:val="00704CAE"/>
    <w:rsid w:val="00721AC8"/>
    <w:rsid w:val="00722227"/>
    <w:rsid w:val="0072256A"/>
    <w:rsid w:val="0072277B"/>
    <w:rsid w:val="007233A1"/>
    <w:rsid w:val="00723B7F"/>
    <w:rsid w:val="00725861"/>
    <w:rsid w:val="0073393A"/>
    <w:rsid w:val="0073539D"/>
    <w:rsid w:val="007459AC"/>
    <w:rsid w:val="00745ADD"/>
    <w:rsid w:val="00755EB1"/>
    <w:rsid w:val="007649CE"/>
    <w:rsid w:val="00767B8A"/>
    <w:rsid w:val="00772099"/>
    <w:rsid w:val="00775481"/>
    <w:rsid w:val="00780AAB"/>
    <w:rsid w:val="00782113"/>
    <w:rsid w:val="007862F7"/>
    <w:rsid w:val="0078791E"/>
    <w:rsid w:val="00793228"/>
    <w:rsid w:val="0079623A"/>
    <w:rsid w:val="0079793E"/>
    <w:rsid w:val="007A233B"/>
    <w:rsid w:val="007B4863"/>
    <w:rsid w:val="007B4AFF"/>
    <w:rsid w:val="007B79B0"/>
    <w:rsid w:val="007C65E6"/>
    <w:rsid w:val="007D27F5"/>
    <w:rsid w:val="007D3C92"/>
    <w:rsid w:val="007D406B"/>
    <w:rsid w:val="007D4407"/>
    <w:rsid w:val="007E1CA3"/>
    <w:rsid w:val="007E28ED"/>
    <w:rsid w:val="007E4884"/>
    <w:rsid w:val="007F2FB8"/>
    <w:rsid w:val="007F4174"/>
    <w:rsid w:val="008035BB"/>
    <w:rsid w:val="00804E6F"/>
    <w:rsid w:val="008118C9"/>
    <w:rsid w:val="00817B0A"/>
    <w:rsid w:val="00821713"/>
    <w:rsid w:val="00821C4A"/>
    <w:rsid w:val="00827050"/>
    <w:rsid w:val="00830E51"/>
    <w:rsid w:val="0083278B"/>
    <w:rsid w:val="00834538"/>
    <w:rsid w:val="00840B20"/>
    <w:rsid w:val="008419E0"/>
    <w:rsid w:val="00850E89"/>
    <w:rsid w:val="0085663B"/>
    <w:rsid w:val="00865E37"/>
    <w:rsid w:val="00867B74"/>
    <w:rsid w:val="00886EFE"/>
    <w:rsid w:val="008874B4"/>
    <w:rsid w:val="008930D5"/>
    <w:rsid w:val="008930E4"/>
    <w:rsid w:val="00893821"/>
    <w:rsid w:val="0089522B"/>
    <w:rsid w:val="0089644D"/>
    <w:rsid w:val="008A129F"/>
    <w:rsid w:val="008A723F"/>
    <w:rsid w:val="008A7645"/>
    <w:rsid w:val="008A7B9C"/>
    <w:rsid w:val="008B4754"/>
    <w:rsid w:val="008B48AE"/>
    <w:rsid w:val="008B54FC"/>
    <w:rsid w:val="008C0171"/>
    <w:rsid w:val="008C2389"/>
    <w:rsid w:val="008E1B2B"/>
    <w:rsid w:val="008E6A7A"/>
    <w:rsid w:val="008F1038"/>
    <w:rsid w:val="008F37F0"/>
    <w:rsid w:val="008F7046"/>
    <w:rsid w:val="00900209"/>
    <w:rsid w:val="009005FC"/>
    <w:rsid w:val="00901F9D"/>
    <w:rsid w:val="00902A4B"/>
    <w:rsid w:val="0092332C"/>
    <w:rsid w:val="00923E98"/>
    <w:rsid w:val="00925BBC"/>
    <w:rsid w:val="009274A0"/>
    <w:rsid w:val="00927B31"/>
    <w:rsid w:val="009324A6"/>
    <w:rsid w:val="00942526"/>
    <w:rsid w:val="00943315"/>
    <w:rsid w:val="009463BC"/>
    <w:rsid w:val="00947368"/>
    <w:rsid w:val="00951225"/>
    <w:rsid w:val="009527BE"/>
    <w:rsid w:val="00956FEE"/>
    <w:rsid w:val="00962A22"/>
    <w:rsid w:val="0096384D"/>
    <w:rsid w:val="00965F53"/>
    <w:rsid w:val="00965FD2"/>
    <w:rsid w:val="00972CDB"/>
    <w:rsid w:val="0098562E"/>
    <w:rsid w:val="009925AB"/>
    <w:rsid w:val="009927DF"/>
    <w:rsid w:val="00993F09"/>
    <w:rsid w:val="00997A20"/>
    <w:rsid w:val="009A1510"/>
    <w:rsid w:val="009B696B"/>
    <w:rsid w:val="009B7671"/>
    <w:rsid w:val="009C3F40"/>
    <w:rsid w:val="009D2F04"/>
    <w:rsid w:val="009D56C5"/>
    <w:rsid w:val="009D77D4"/>
    <w:rsid w:val="009E4232"/>
    <w:rsid w:val="009F056E"/>
    <w:rsid w:val="00A0253A"/>
    <w:rsid w:val="00A055A4"/>
    <w:rsid w:val="00A166B6"/>
    <w:rsid w:val="00A23197"/>
    <w:rsid w:val="00A268BC"/>
    <w:rsid w:val="00A26DCD"/>
    <w:rsid w:val="00A277E6"/>
    <w:rsid w:val="00A314BB"/>
    <w:rsid w:val="00A32B7D"/>
    <w:rsid w:val="00A34F36"/>
    <w:rsid w:val="00A47877"/>
    <w:rsid w:val="00A53A79"/>
    <w:rsid w:val="00A5596B"/>
    <w:rsid w:val="00A57C8F"/>
    <w:rsid w:val="00A617E1"/>
    <w:rsid w:val="00A646B3"/>
    <w:rsid w:val="00A6739B"/>
    <w:rsid w:val="00A7120F"/>
    <w:rsid w:val="00A71CC0"/>
    <w:rsid w:val="00A73021"/>
    <w:rsid w:val="00A775EE"/>
    <w:rsid w:val="00A814AA"/>
    <w:rsid w:val="00A82DD6"/>
    <w:rsid w:val="00A84AE4"/>
    <w:rsid w:val="00A90413"/>
    <w:rsid w:val="00A965C5"/>
    <w:rsid w:val="00A9721B"/>
    <w:rsid w:val="00AA415A"/>
    <w:rsid w:val="00AB0A9C"/>
    <w:rsid w:val="00AB7119"/>
    <w:rsid w:val="00AB7C98"/>
    <w:rsid w:val="00AC099A"/>
    <w:rsid w:val="00AC1962"/>
    <w:rsid w:val="00AC48C5"/>
    <w:rsid w:val="00AD568B"/>
    <w:rsid w:val="00AD5855"/>
    <w:rsid w:val="00AE5036"/>
    <w:rsid w:val="00AE7500"/>
    <w:rsid w:val="00AE7F87"/>
    <w:rsid w:val="00AF3542"/>
    <w:rsid w:val="00AF5AA6"/>
    <w:rsid w:val="00AF5ABE"/>
    <w:rsid w:val="00B00415"/>
    <w:rsid w:val="00B1000D"/>
    <w:rsid w:val="00B10134"/>
    <w:rsid w:val="00B13F1B"/>
    <w:rsid w:val="00B16BFE"/>
    <w:rsid w:val="00B16C6C"/>
    <w:rsid w:val="00B21895"/>
    <w:rsid w:val="00B24ABB"/>
    <w:rsid w:val="00B355AB"/>
    <w:rsid w:val="00B500E5"/>
    <w:rsid w:val="00B555FD"/>
    <w:rsid w:val="00B57EB4"/>
    <w:rsid w:val="00B62DF9"/>
    <w:rsid w:val="00B664D7"/>
    <w:rsid w:val="00B80CA0"/>
    <w:rsid w:val="00B85F0C"/>
    <w:rsid w:val="00BA2DCF"/>
    <w:rsid w:val="00BA39BB"/>
    <w:rsid w:val="00BA3B3D"/>
    <w:rsid w:val="00BA4040"/>
    <w:rsid w:val="00BA61AC"/>
    <w:rsid w:val="00BB2561"/>
    <w:rsid w:val="00BB4F4D"/>
    <w:rsid w:val="00BC5F1F"/>
    <w:rsid w:val="00BC73F0"/>
    <w:rsid w:val="00BD085C"/>
    <w:rsid w:val="00BD1909"/>
    <w:rsid w:val="00BD3386"/>
    <w:rsid w:val="00BD64F3"/>
    <w:rsid w:val="00BD7453"/>
    <w:rsid w:val="00BE3491"/>
    <w:rsid w:val="00BE5E16"/>
    <w:rsid w:val="00BE5FD1"/>
    <w:rsid w:val="00BF2515"/>
    <w:rsid w:val="00BF2F10"/>
    <w:rsid w:val="00C0366D"/>
    <w:rsid w:val="00C06E05"/>
    <w:rsid w:val="00C17370"/>
    <w:rsid w:val="00C24317"/>
    <w:rsid w:val="00C26EC0"/>
    <w:rsid w:val="00C33C4E"/>
    <w:rsid w:val="00C35B3B"/>
    <w:rsid w:val="00C370F6"/>
    <w:rsid w:val="00C3784A"/>
    <w:rsid w:val="00C434DB"/>
    <w:rsid w:val="00C4706C"/>
    <w:rsid w:val="00C51B35"/>
    <w:rsid w:val="00C561E1"/>
    <w:rsid w:val="00C56C77"/>
    <w:rsid w:val="00C6273D"/>
    <w:rsid w:val="00C661B2"/>
    <w:rsid w:val="00C714FD"/>
    <w:rsid w:val="00C73840"/>
    <w:rsid w:val="00C73BF6"/>
    <w:rsid w:val="00C74164"/>
    <w:rsid w:val="00C87D64"/>
    <w:rsid w:val="00C937BF"/>
    <w:rsid w:val="00C97C19"/>
    <w:rsid w:val="00C97FFE"/>
    <w:rsid w:val="00CA29F3"/>
    <w:rsid w:val="00CA3334"/>
    <w:rsid w:val="00CA357C"/>
    <w:rsid w:val="00CA7263"/>
    <w:rsid w:val="00CB12F7"/>
    <w:rsid w:val="00CB4436"/>
    <w:rsid w:val="00CB45A2"/>
    <w:rsid w:val="00CB7B3E"/>
    <w:rsid w:val="00CC739D"/>
    <w:rsid w:val="00CD6799"/>
    <w:rsid w:val="00CF15D9"/>
    <w:rsid w:val="00D04468"/>
    <w:rsid w:val="00D16116"/>
    <w:rsid w:val="00D33432"/>
    <w:rsid w:val="00D356E0"/>
    <w:rsid w:val="00D36257"/>
    <w:rsid w:val="00D42237"/>
    <w:rsid w:val="00D43B0E"/>
    <w:rsid w:val="00D4687E"/>
    <w:rsid w:val="00D53453"/>
    <w:rsid w:val="00D53A12"/>
    <w:rsid w:val="00D73288"/>
    <w:rsid w:val="00DA2057"/>
    <w:rsid w:val="00DA2844"/>
    <w:rsid w:val="00DB0C43"/>
    <w:rsid w:val="00DB199B"/>
    <w:rsid w:val="00DB291A"/>
    <w:rsid w:val="00DB4AEA"/>
    <w:rsid w:val="00DB5B69"/>
    <w:rsid w:val="00DC11FC"/>
    <w:rsid w:val="00DD0010"/>
    <w:rsid w:val="00DE26B2"/>
    <w:rsid w:val="00DE3354"/>
    <w:rsid w:val="00DF4273"/>
    <w:rsid w:val="00DF4DC3"/>
    <w:rsid w:val="00DF5088"/>
    <w:rsid w:val="00DF5B91"/>
    <w:rsid w:val="00DF7DCD"/>
    <w:rsid w:val="00E02D75"/>
    <w:rsid w:val="00E03CED"/>
    <w:rsid w:val="00E16154"/>
    <w:rsid w:val="00E302DC"/>
    <w:rsid w:val="00E42E68"/>
    <w:rsid w:val="00E56F20"/>
    <w:rsid w:val="00E60F67"/>
    <w:rsid w:val="00E710A9"/>
    <w:rsid w:val="00E73D46"/>
    <w:rsid w:val="00E7696E"/>
    <w:rsid w:val="00E87157"/>
    <w:rsid w:val="00E87A47"/>
    <w:rsid w:val="00E92E19"/>
    <w:rsid w:val="00EB7D28"/>
    <w:rsid w:val="00EC0D0C"/>
    <w:rsid w:val="00EC0E77"/>
    <w:rsid w:val="00EC1757"/>
    <w:rsid w:val="00EC613F"/>
    <w:rsid w:val="00ED4A2C"/>
    <w:rsid w:val="00EE7571"/>
    <w:rsid w:val="00EE7D31"/>
    <w:rsid w:val="00EF07A2"/>
    <w:rsid w:val="00EF61A1"/>
    <w:rsid w:val="00EF677D"/>
    <w:rsid w:val="00EF6940"/>
    <w:rsid w:val="00EF6D23"/>
    <w:rsid w:val="00F12254"/>
    <w:rsid w:val="00F2044A"/>
    <w:rsid w:val="00F20BFC"/>
    <w:rsid w:val="00F21A4D"/>
    <w:rsid w:val="00F21CAD"/>
    <w:rsid w:val="00F237F6"/>
    <w:rsid w:val="00F24D5F"/>
    <w:rsid w:val="00F31296"/>
    <w:rsid w:val="00F40B8B"/>
    <w:rsid w:val="00F43C4C"/>
    <w:rsid w:val="00F51CF3"/>
    <w:rsid w:val="00F53AA8"/>
    <w:rsid w:val="00F651A3"/>
    <w:rsid w:val="00F715F7"/>
    <w:rsid w:val="00F720B1"/>
    <w:rsid w:val="00F726C3"/>
    <w:rsid w:val="00F84304"/>
    <w:rsid w:val="00F8554C"/>
    <w:rsid w:val="00F94AA0"/>
    <w:rsid w:val="00F95699"/>
    <w:rsid w:val="00F97A90"/>
    <w:rsid w:val="00FA0A8A"/>
    <w:rsid w:val="00FA6A8F"/>
    <w:rsid w:val="00FB5F96"/>
    <w:rsid w:val="00FC100B"/>
    <w:rsid w:val="00FC176B"/>
    <w:rsid w:val="00FC2F35"/>
    <w:rsid w:val="00FC3FD7"/>
    <w:rsid w:val="00FC7818"/>
    <w:rsid w:val="00FC7C88"/>
    <w:rsid w:val="00FC7D13"/>
    <w:rsid w:val="00FD1FC6"/>
    <w:rsid w:val="00FE5869"/>
    <w:rsid w:val="7B96C6BE"/>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63C242"/>
  <w15:chartTrackingRefBased/>
  <w15:docId w15:val="{D24CFB27-9324-47D1-B492-EBDFAB450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265B86"/>
    <w:pPr>
      <w:spacing w:line="240" w:lineRule="auto" w:after="0"/>
      <w:jc w:val="both"/>
    </w:pPr>
    <w:rPr>
      <w:rFonts w:ascii="Times New Roman" w:hAnsi="Times New Roman"/>
      <w:sz w:val="22"/>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Paragraph"/>
    <w:qFormat/>
    <w:pPr>
      <w:keepNext/>
      <w:spacing w:before="240" w:after="240"/>
      <w:jc w:val="center"/>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rsid w:val="0089522B"/>
    <w:pPr>
      <w:spacing w:before="1200"/>
      <w:jc w:val="center"/>
    </w:pPr>
    <w:rPr>
      <w:b/>
      <w:sz w:val="28"/>
    </w:rPr>
  </w:style>
  <w:style w:type="paragraph" w:customStyle="1" w:styleId="AuthorName">
    <w:name w:val="Author Name"/>
    <w:basedOn w:val="Normal"/>
    <w:next w:val="AuthorAffiliation"/>
    <w:rsid w:val="008419E0"/>
    <w:pPr>
      <w:spacing w:before="360" w:after="360"/>
      <w:jc w:val="center"/>
    </w:pPr>
    <w:rPr>
      <w:sz w:val="24"/>
    </w:rPr>
  </w:style>
  <w:style w:type="paragraph" w:customStyle="1" w:styleId="AuthorAffiliation">
    <w:name w:val="Author Affiliation"/>
    <w:basedOn w:val="Normal"/>
    <w:rsid w:val="004466C2"/>
    <w:pPr>
      <w:jc w:val="center"/>
    </w:pPr>
    <w:rPr>
      <w:i/>
      <w:iCs/>
      <w:noProof/>
      <w:szCs w:val="24"/>
      <w:lang w:val="id-ID"/>
    </w:rPr>
  </w:style>
  <w:style w:type="paragraph" w:customStyle="1" w:styleId="Abstract">
    <w:name w:val="Abstract"/>
    <w:basedOn w:val="Normal"/>
    <w:next w:val="Heading1"/>
    <w:link w:val="AbstractChar"/>
    <w:rsid w:val="004C25F9"/>
    <w:pPr>
      <w:spacing w:before="360" w:after="360"/>
      <w:ind w:left="289" w:right="289"/>
    </w:pPr>
  </w:style>
  <w:style w:type="paragraph" w:customStyle="1" w:styleId="Paragraph">
    <w:name w:val="Paragraph"/>
    <w:basedOn w:val="Normal"/>
    <w:rsid w:val="007B79B0"/>
    <w:pPr>
      <w:spacing w:after="0" w:line="240" w:lineRule="auto"/>
      <w:ind w:firstLine="284"/>
      <w:contextualSpacing/>
    </w:pPr>
    <w:rPr>
      <w:rFonts w:ascii="Times New Roman" w:hAnsi="Times New Roman"/>
      <w:noProof/>
      <w:sz w:val="22"/>
      <w:szCs w:val="22"/>
      <w:lang w:val="id-ID"/>
    </w:rPr>
  </w:style>
  <w:style w:type="character" w:styleId="FootnoteReference">
    <w:name w:val="footnote reference"/>
    <w:semiHidden/>
    <w:rPr>
      <w:vertAlign w:val="superscript"/>
    </w:rPr>
  </w:style>
  <w:style w:type="paragraph" w:customStyle="1" w:styleId="Reference">
    <w:name w:val="Reference"/>
    <w:basedOn w:val="Paragraph"/>
    <w:rsid w:val="002C1E9B"/>
    <w:pPr>
      <w:spacing w:after="120"/>
      <w:ind w:left="284" w:hanging="284"/>
    </w:pPr>
  </w:style>
  <w:style w:type="paragraph" w:customStyle="1" w:styleId="FigureCaption">
    <w:name w:val="Figure Caption"/>
    <w:next w:val="Paragraph"/>
    <w:rsid w:val="00DF4273"/>
    <w:pPr>
      <w:spacing w:after="240"/>
      <w:jc w:val="center"/>
    </w:pPr>
    <w:rPr>
      <w:sz w:val="18"/>
    </w:rPr>
  </w:style>
  <w:style w:type="paragraph" w:customStyle="1" w:styleId="Figure">
    <w:name w:val="Figure"/>
    <w:basedOn w:val="Paragraph"/>
    <w:next w:val="FigureCaption"/>
    <w:rsid w:val="0069767B"/>
    <w:pPr>
      <w:keepNext/>
      <w:spacing w:before="240" w:after="120"/>
      <w:ind w:firstLine="0"/>
      <w:jc w:val="center"/>
    </w:pPr>
  </w:style>
  <w:style w:type="paragraph" w:customStyle="1" w:styleId="Equation">
    <w:name w:val="Equation"/>
    <w:basedOn w:val="Paragraph"/>
    <w:qFormat/>
    <w:rsid w:val="00E87A47"/>
    <w:pPr>
      <w:tabs>
        <w:tab w:val="center" w:pos="4320"/>
        <w:tab w:val="right" w:pos="9242"/>
      </w:tabs>
      <w:spacing w:before="240" w:after="240"/>
      <w:ind w:firstLine="0"/>
      <w:jc w:val="center"/>
    </w:pPr>
  </w:style>
  <w:style w:type="paragraph" w:styleId="BalloonText">
    <w:name w:val="Balloon Text"/>
    <w:basedOn w:val="Normal"/>
    <w:link w:val="BalloonTextChar"/>
    <w:rsid w:val="00114AB1"/>
    <w:rPr>
      <w:rFonts w:ascii="Tahoma" w:hAnsi="Tahoma"/>
      <w:sz w:val="16"/>
      <w:szCs w:val="16"/>
    </w:rPr>
  </w:style>
  <w:style w:type="character" w:customStyle="1" w:styleId="BalloonTextChar">
    <w:name w:val="Balloon Text Char"/>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uiPriority w:val="59"/>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1"/>
      </w:numPr>
      <w:ind w:left="641" w:hanging="357"/>
    </w:pPr>
  </w:style>
  <w:style w:type="paragraph" w:customStyle="1" w:styleId="AuthorEmail">
    <w:name w:val="Author Email"/>
    <w:basedOn w:val="Normal"/>
    <w:qFormat/>
    <w:rsid w:val="001D469C"/>
    <w:pPr>
      <w:jc w:val="center"/>
    </w:p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uiPriority w:val="22"/>
    <w:qFormat/>
    <w:rsid w:val="005F7475"/>
    <w:rPr>
      <w:b/>
      <w:bCs/>
    </w:rPr>
  </w:style>
  <w:style w:type="character" w:styleId="Emphasis">
    <w:name w:val="Emphasis"/>
    <w:uiPriority w:val="20"/>
    <w:qFormat/>
    <w:rsid w:val="005F7475"/>
    <w:rPr>
      <w:i/>
      <w:iCs/>
    </w:rPr>
  </w:style>
  <w:style w:type="paragraph" w:customStyle="1" w:styleId="TableCaption">
    <w:name w:val="Table Caption"/>
    <w:basedOn w:val="FigureCaption"/>
    <w:qFormat/>
    <w:rsid w:val="00A7120F"/>
    <w:pPr>
      <w:spacing w:before="240" w:after="120"/>
    </w:pPr>
    <w:rPr>
      <w:szCs w:val="18"/>
    </w:rPr>
  </w:style>
  <w:style w:type="paragraph" w:customStyle="1" w:styleId="Paragraphnumbered">
    <w:name w:val="Paragraph (numbered)"/>
    <w:rsid w:val="000B49C0"/>
    <w:pPr>
      <w:numPr>
        <w:numId w:val="2"/>
      </w:numPr>
      <w:jc w:val="both"/>
    </w:pPr>
  </w:style>
  <w:style w:type="paragraph" w:customStyle="1" w:styleId="Abstract-Title">
    <w:name w:val="Abstract-Title"/>
    <w:basedOn w:val="Abstract"/>
    <w:link w:val="Abstract-TitleChar"/>
    <w:qFormat/>
    <w:rsid w:val="000C20E8"/>
    <w:pPr>
      <w:spacing w:after="120"/>
      <w:jc w:val="center"/>
    </w:pPr>
    <w:rPr>
      <w:b/>
      <w:bCs/>
      <w:noProof/>
    </w:rPr>
  </w:style>
  <w:style w:type="paragraph" w:customStyle="1" w:styleId="keywords">
    <w:name w:val="keywords"/>
    <w:basedOn w:val="Abstract"/>
    <w:link w:val="keywordsChar"/>
    <w:qFormat/>
    <w:rsid w:val="008C0171"/>
    <w:pPr>
      <w:spacing w:before="0"/>
    </w:pPr>
    <w:rPr>
      <w:lang w:val="id-ID"/>
    </w:rPr>
  </w:style>
  <w:style w:type="character" w:customStyle="1" w:styleId="AbstractChar">
    <w:name w:val="Abstract Char"/>
    <w:link w:val="Abstract"/>
    <w:rsid w:val="004C25F9"/>
    <w:rPr>
      <w:lang w:val="en-US" w:eastAsia="en-US"/>
    </w:rPr>
  </w:style>
  <w:style w:type="character" w:customStyle="1" w:styleId="Abstract-TitleChar">
    <w:name w:val="Abstract-Title Char"/>
    <w:link w:val="Abstract-Title"/>
    <w:rsid w:val="000C20E8"/>
    <w:rPr>
      <w:b/>
      <w:bCs/>
      <w:noProof/>
      <w:lang w:val="en-US" w:eastAsia="en-US"/>
    </w:rPr>
  </w:style>
  <w:style w:type="character" w:styleId="FollowedHyperlink">
    <w:name w:val="FollowedHyperlink"/>
    <w:semiHidden/>
    <w:unhideWhenUsed/>
    <w:rsid w:val="007D27F5"/>
    <w:rPr>
      <w:color w:val="800080"/>
      <w:u w:val="single"/>
    </w:rPr>
  </w:style>
  <w:style w:type="character" w:customStyle="1" w:styleId="keywordsChar">
    <w:name w:val="keywords Char"/>
    <w:link w:val="keywords"/>
    <w:rsid w:val="008C0171"/>
    <w:rPr>
      <w:lang w:val="en-US" w:eastAsia="en-US"/>
    </w:rPr>
  </w:style>
  <w:style w:type="paragraph" w:styleId="Header">
    <w:name w:val="header"/>
    <w:basedOn w:val="Normal"/>
    <w:link w:val="HeaderChar"/>
    <w:uiPriority w:val="99"/>
    <w:unhideWhenUsed/>
    <w:rsid w:val="0039261C"/>
    <w:pPr>
      <w:tabs>
        <w:tab w:val="center" w:pos="4513"/>
        <w:tab w:val="right" w:pos="9026"/>
      </w:tabs>
    </w:pPr>
  </w:style>
  <w:style w:type="character" w:customStyle="1" w:styleId="HeaderChar">
    <w:name w:val="Header Char"/>
    <w:link w:val="Header"/>
    <w:uiPriority w:val="99"/>
    <w:rsid w:val="0039261C"/>
    <w:rPr>
      <w:lang w:val="en-US" w:eastAsia="en-US"/>
    </w:rPr>
  </w:style>
  <w:style w:type="paragraph" w:styleId="Footer">
    <w:name w:val="footer"/>
    <w:basedOn w:val="Normal"/>
    <w:link w:val="FooterChar"/>
    <w:unhideWhenUsed/>
    <w:rsid w:val="0039261C"/>
    <w:pPr>
      <w:tabs>
        <w:tab w:val="center" w:pos="4513"/>
        <w:tab w:val="right" w:pos="9026"/>
      </w:tabs>
    </w:pPr>
  </w:style>
  <w:style w:type="character" w:customStyle="1" w:styleId="FooterChar">
    <w:name w:val="Footer Char"/>
    <w:link w:val="Footer"/>
    <w:rsid w:val="0039261C"/>
    <w:rPr>
      <w:lang w:val="en-US" w:eastAsia="en-US"/>
    </w:rPr>
  </w:style>
  <w:style w:type="paragraph" w:styleId="ListParagraph">
    <w:name w:val="List Paragraph"/>
    <w:basedOn w:val="Normal"/>
    <w:link w:val="ListParagraphChar"/>
    <w:uiPriority w:val="34"/>
    <w:qFormat/>
    <w:rsid w:val="00A57C8F"/>
    <w:pPr>
      <w:spacing w:after="160" w:line="259" w:lineRule="auto"/>
      <w:ind w:left="720"/>
      <w:contextualSpacing/>
    </w:pPr>
    <w:rPr>
      <w:rFonts w:ascii="Calibri" w:eastAsia="Calibri" w:hAnsi="Calibri" w:cs="Arial"/>
      <w:szCs w:val="22"/>
      <w:lang w:val="en-ID"/>
    </w:rPr>
  </w:style>
  <w:style w:type="character" w:styleId="PlaceholderText">
    <w:name w:val="Placeholder Text"/>
    <w:uiPriority w:val="99"/>
    <w:semiHidden/>
    <w:rsid w:val="00B21895"/>
    <w:rPr>
      <w:color w:val="808080"/>
    </w:rPr>
  </w:style>
  <w:style w:type="character" w:styleId="UnresolvedMention">
    <w:name w:val="Unresolved Mention"/>
    <w:uiPriority w:val="99"/>
    <w:semiHidden/>
    <w:unhideWhenUsed/>
    <w:rsid w:val="007B79B0"/>
    <w:rPr>
      <w:color w:val="605E5C"/>
      <w:shd w:val="clear" w:color="auto" w:fill="E1DFDD"/>
    </w:rPr>
  </w:style>
  <w:style w:type="character" w:styleId="HTMLCite">
    <w:name w:val="HTML Cite"/>
    <w:uiPriority w:val="99"/>
    <w:semiHidden/>
    <w:unhideWhenUsed/>
    <w:rsid w:val="006601A6"/>
    <w:rPr>
      <w:i/>
      <w:iCs/>
    </w:rPr>
  </w:style>
  <w:style w:type="character" w:customStyle="1" w:styleId="ListParagraphChar">
    <w:name w:val="List Paragraph Char"/>
    <w:link w:val="ListParagraph"/>
    <w:uiPriority w:val="34"/>
    <w:rsid w:val="00A9721B"/>
    <w:rPr>
      <w:rFonts w:ascii="Calibri" w:eastAsia="Calibri" w:hAnsi="Calibri" w:cs="Arial"/>
      <w:sz w:val="22"/>
      <w:szCs w:val="22"/>
      <w:lang w:val="en-ID"/>
    </w:rPr>
  </w:style>
  <w:style w:type="character" w:customStyle="1" w:styleId="judul2Char">
    <w:name w:val="judul 2 Char"/>
    <w:link w:val="judul2"/>
    <w:locked/>
    <w:rsid w:val="00A9721B"/>
    <w:rPr>
      <w:b/>
      <w:bCs/>
      <w:sz w:val="24"/>
      <w:szCs w:val="24"/>
    </w:rPr>
  </w:style>
  <w:style w:type="paragraph" w:customStyle="1" w:styleId="judul2">
    <w:name w:val="judul 2"/>
    <w:basedOn w:val="Normal"/>
    <w:link w:val="judul2Char"/>
    <w:qFormat/>
    <w:rsid w:val="00A9721B"/>
    <w:pPr>
      <w:spacing w:after="200" w:line="276" w:lineRule="auto"/>
      <w:ind w:left="720" w:hanging="360"/>
      <w:jc w:val="left"/>
    </w:pPr>
    <w:rPr>
      <w:b/>
      <w:bCs/>
      <w:sz w:val="24"/>
      <w:szCs w:val="24"/>
    </w:rPr>
  </w:style>
  <w:style w:type="paragraph" w:customStyle="1" w:styleId="SAP-TableHeadingSingleline">
    <w:name w:val="SAP-Table Heading Single line"/>
    <w:basedOn w:val="Normal"/>
    <w:rsid w:val="005000BA"/>
    <w:pPr>
      <w:adjustRightInd w:val="0"/>
      <w:snapToGrid w:val="0"/>
      <w:spacing w:before="200" w:after="100" w:line="160" w:lineRule="exact"/>
      <w:jc w:val="center"/>
    </w:pPr>
    <w:rPr>
      <w:bCs/>
      <w:sz w:val="16"/>
      <w:szCs w:val="24"/>
      <w:lang w:val="en-AU" w:eastAsia="zh-CN"/>
    </w:rPr>
  </w:style>
  <w:style w:type="paragraph" w:customStyle="1" w:styleId="MainText">
    <w:name w:val="Main Text"/>
    <w:basedOn w:val="Normal"/>
    <w:qFormat/>
    <w:rsid w:val="00D16116"/>
    <w:pPr>
      <w:ind w:firstLine="284"/>
    </w:pPr>
    <w:rPr>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6514389">
      <w:bodyDiv w:val="1"/>
      <w:marLeft w:val="0"/>
      <w:marRight w:val="0"/>
      <w:marTop w:val="0"/>
      <w:marBottom w:val="0"/>
      <w:divBdr>
        <w:top w:val="none" w:sz="0" w:space="0" w:color="auto"/>
        <w:left w:val="none" w:sz="0" w:space="0" w:color="auto"/>
        <w:bottom w:val="none" w:sz="0" w:space="0" w:color="auto"/>
        <w:right w:val="none" w:sz="0" w:space="0" w:color="auto"/>
      </w:divBdr>
    </w:div>
    <w:div w:id="385954819">
      <w:bodyDiv w:val="1"/>
      <w:marLeft w:val="0"/>
      <w:marRight w:val="0"/>
      <w:marTop w:val="0"/>
      <w:marBottom w:val="0"/>
      <w:divBdr>
        <w:top w:val="none" w:sz="0" w:space="0" w:color="auto"/>
        <w:left w:val="none" w:sz="0" w:space="0" w:color="auto"/>
        <w:bottom w:val="none" w:sz="0" w:space="0" w:color="auto"/>
        <w:right w:val="none" w:sz="0" w:space="0" w:color="auto"/>
      </w:divBdr>
    </w:div>
    <w:div w:id="455756807">
      <w:bodyDiv w:val="1"/>
      <w:marLeft w:val="0"/>
      <w:marRight w:val="0"/>
      <w:marTop w:val="0"/>
      <w:marBottom w:val="0"/>
      <w:divBdr>
        <w:top w:val="none" w:sz="0" w:space="0" w:color="auto"/>
        <w:left w:val="none" w:sz="0" w:space="0" w:color="auto"/>
        <w:bottom w:val="none" w:sz="0" w:space="0" w:color="auto"/>
        <w:right w:val="none" w:sz="0" w:space="0" w:color="auto"/>
      </w:divBdr>
      <w:divsChild>
        <w:div w:id="2007436223">
          <w:marLeft w:val="0"/>
          <w:marRight w:val="0"/>
          <w:marTop w:val="0"/>
          <w:marBottom w:val="0"/>
          <w:divBdr>
            <w:top w:val="none" w:sz="0" w:space="0" w:color="auto"/>
            <w:left w:val="none" w:sz="0" w:space="0" w:color="auto"/>
            <w:bottom w:val="none" w:sz="0" w:space="0" w:color="auto"/>
            <w:right w:val="none" w:sz="0" w:space="0" w:color="auto"/>
          </w:divBdr>
        </w:div>
      </w:divsChild>
    </w:div>
    <w:div w:id="523833078">
      <w:bodyDiv w:val="1"/>
      <w:marLeft w:val="0"/>
      <w:marRight w:val="0"/>
      <w:marTop w:val="0"/>
      <w:marBottom w:val="0"/>
      <w:divBdr>
        <w:top w:val="none" w:sz="0" w:space="0" w:color="auto"/>
        <w:left w:val="none" w:sz="0" w:space="0" w:color="auto"/>
        <w:bottom w:val="none" w:sz="0" w:space="0" w:color="auto"/>
        <w:right w:val="none" w:sz="0" w:space="0" w:color="auto"/>
      </w:divBdr>
    </w:div>
    <w:div w:id="545798729">
      <w:bodyDiv w:val="1"/>
      <w:marLeft w:val="0"/>
      <w:marRight w:val="0"/>
      <w:marTop w:val="0"/>
      <w:marBottom w:val="0"/>
      <w:divBdr>
        <w:top w:val="none" w:sz="0" w:space="0" w:color="auto"/>
        <w:left w:val="none" w:sz="0" w:space="0" w:color="auto"/>
        <w:bottom w:val="none" w:sz="0" w:space="0" w:color="auto"/>
        <w:right w:val="none" w:sz="0" w:space="0" w:color="auto"/>
      </w:divBdr>
    </w:div>
    <w:div w:id="657808550">
      <w:bodyDiv w:val="1"/>
      <w:marLeft w:val="0"/>
      <w:marRight w:val="0"/>
      <w:marTop w:val="0"/>
      <w:marBottom w:val="0"/>
      <w:divBdr>
        <w:top w:val="none" w:sz="0" w:space="0" w:color="auto"/>
        <w:left w:val="none" w:sz="0" w:space="0" w:color="auto"/>
        <w:bottom w:val="none" w:sz="0" w:space="0" w:color="auto"/>
        <w:right w:val="none" w:sz="0" w:space="0" w:color="auto"/>
      </w:divBdr>
    </w:div>
    <w:div w:id="761997381">
      <w:bodyDiv w:val="1"/>
      <w:marLeft w:val="0"/>
      <w:marRight w:val="0"/>
      <w:marTop w:val="0"/>
      <w:marBottom w:val="0"/>
      <w:divBdr>
        <w:top w:val="none" w:sz="0" w:space="0" w:color="auto"/>
        <w:left w:val="none" w:sz="0" w:space="0" w:color="auto"/>
        <w:bottom w:val="none" w:sz="0" w:space="0" w:color="auto"/>
        <w:right w:val="none" w:sz="0" w:space="0" w:color="auto"/>
      </w:divBdr>
    </w:div>
    <w:div w:id="837617718">
      <w:bodyDiv w:val="1"/>
      <w:marLeft w:val="0"/>
      <w:marRight w:val="0"/>
      <w:marTop w:val="0"/>
      <w:marBottom w:val="0"/>
      <w:divBdr>
        <w:top w:val="none" w:sz="0" w:space="0" w:color="auto"/>
        <w:left w:val="none" w:sz="0" w:space="0" w:color="auto"/>
        <w:bottom w:val="none" w:sz="0" w:space="0" w:color="auto"/>
        <w:right w:val="none" w:sz="0" w:space="0" w:color="auto"/>
      </w:divBdr>
    </w:div>
    <w:div w:id="925191971">
      <w:bodyDiv w:val="1"/>
      <w:marLeft w:val="0"/>
      <w:marRight w:val="0"/>
      <w:marTop w:val="0"/>
      <w:marBottom w:val="0"/>
      <w:divBdr>
        <w:top w:val="none" w:sz="0" w:space="0" w:color="auto"/>
        <w:left w:val="none" w:sz="0" w:space="0" w:color="auto"/>
        <w:bottom w:val="none" w:sz="0" w:space="0" w:color="auto"/>
        <w:right w:val="none" w:sz="0" w:space="0" w:color="auto"/>
      </w:divBdr>
    </w:div>
    <w:div w:id="1106802612">
      <w:bodyDiv w:val="1"/>
      <w:marLeft w:val="0"/>
      <w:marRight w:val="0"/>
      <w:marTop w:val="0"/>
      <w:marBottom w:val="0"/>
      <w:divBdr>
        <w:top w:val="none" w:sz="0" w:space="0" w:color="auto"/>
        <w:left w:val="none" w:sz="0" w:space="0" w:color="auto"/>
        <w:bottom w:val="none" w:sz="0" w:space="0" w:color="auto"/>
        <w:right w:val="none" w:sz="0" w:space="0" w:color="auto"/>
      </w:divBdr>
    </w:div>
    <w:div w:id="1114638088">
      <w:bodyDiv w:val="1"/>
      <w:marLeft w:val="0"/>
      <w:marRight w:val="0"/>
      <w:marTop w:val="0"/>
      <w:marBottom w:val="0"/>
      <w:divBdr>
        <w:top w:val="none" w:sz="0" w:space="0" w:color="auto"/>
        <w:left w:val="none" w:sz="0" w:space="0" w:color="auto"/>
        <w:bottom w:val="none" w:sz="0" w:space="0" w:color="auto"/>
        <w:right w:val="none" w:sz="0" w:space="0" w:color="auto"/>
      </w:divBdr>
    </w:div>
    <w:div w:id="1239824129">
      <w:bodyDiv w:val="1"/>
      <w:marLeft w:val="0"/>
      <w:marRight w:val="0"/>
      <w:marTop w:val="0"/>
      <w:marBottom w:val="0"/>
      <w:divBdr>
        <w:top w:val="none" w:sz="0" w:space="0" w:color="auto"/>
        <w:left w:val="none" w:sz="0" w:space="0" w:color="auto"/>
        <w:bottom w:val="none" w:sz="0" w:space="0" w:color="auto"/>
        <w:right w:val="none" w:sz="0" w:space="0" w:color="auto"/>
      </w:divBdr>
    </w:div>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308126389">
      <w:bodyDiv w:val="1"/>
      <w:marLeft w:val="0"/>
      <w:marRight w:val="0"/>
      <w:marTop w:val="0"/>
      <w:marBottom w:val="0"/>
      <w:divBdr>
        <w:top w:val="none" w:sz="0" w:space="0" w:color="auto"/>
        <w:left w:val="none" w:sz="0" w:space="0" w:color="auto"/>
        <w:bottom w:val="none" w:sz="0" w:space="0" w:color="auto"/>
        <w:right w:val="none" w:sz="0" w:space="0" w:color="auto"/>
      </w:divBdr>
    </w:div>
    <w:div w:id="1361323139">
      <w:bodyDiv w:val="1"/>
      <w:marLeft w:val="0"/>
      <w:marRight w:val="0"/>
      <w:marTop w:val="0"/>
      <w:marBottom w:val="0"/>
      <w:divBdr>
        <w:top w:val="none" w:sz="0" w:space="0" w:color="auto"/>
        <w:left w:val="none" w:sz="0" w:space="0" w:color="auto"/>
        <w:bottom w:val="none" w:sz="0" w:space="0" w:color="auto"/>
        <w:right w:val="none" w:sz="0" w:space="0" w:color="auto"/>
      </w:divBdr>
    </w:div>
    <w:div w:id="1445735769">
      <w:bodyDiv w:val="1"/>
      <w:marLeft w:val="0"/>
      <w:marRight w:val="0"/>
      <w:marTop w:val="0"/>
      <w:marBottom w:val="0"/>
      <w:divBdr>
        <w:top w:val="none" w:sz="0" w:space="0" w:color="auto"/>
        <w:left w:val="none" w:sz="0" w:space="0" w:color="auto"/>
        <w:bottom w:val="none" w:sz="0" w:space="0" w:color="auto"/>
        <w:right w:val="none" w:sz="0" w:space="0" w:color="auto"/>
      </w:divBdr>
    </w:div>
    <w:div w:id="1472481826">
      <w:bodyDiv w:val="1"/>
      <w:marLeft w:val="0"/>
      <w:marRight w:val="0"/>
      <w:marTop w:val="0"/>
      <w:marBottom w:val="0"/>
      <w:divBdr>
        <w:top w:val="none" w:sz="0" w:space="0" w:color="auto"/>
        <w:left w:val="none" w:sz="0" w:space="0" w:color="auto"/>
        <w:bottom w:val="none" w:sz="0" w:space="0" w:color="auto"/>
        <w:right w:val="none" w:sz="0" w:space="0" w:color="auto"/>
      </w:divBdr>
    </w:div>
    <w:div w:id="1672220481">
      <w:bodyDiv w:val="1"/>
      <w:marLeft w:val="0"/>
      <w:marRight w:val="0"/>
      <w:marTop w:val="0"/>
      <w:marBottom w:val="0"/>
      <w:divBdr>
        <w:top w:val="none" w:sz="0" w:space="0" w:color="auto"/>
        <w:left w:val="none" w:sz="0" w:space="0" w:color="auto"/>
        <w:bottom w:val="none" w:sz="0" w:space="0" w:color="auto"/>
        <w:right w:val="none" w:sz="0" w:space="0" w:color="auto"/>
      </w:divBdr>
    </w:div>
    <w:div w:id="1712798488">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 w:id="1854420502">
      <w:bodyDiv w:val="1"/>
      <w:marLeft w:val="0"/>
      <w:marRight w:val="0"/>
      <w:marTop w:val="0"/>
      <w:marBottom w:val="0"/>
      <w:divBdr>
        <w:top w:val="none" w:sz="0" w:space="0" w:color="auto"/>
        <w:left w:val="none" w:sz="0" w:space="0" w:color="auto"/>
        <w:bottom w:val="none" w:sz="0" w:space="0" w:color="auto"/>
        <w:right w:val="none" w:sz="0" w:space="0" w:color="auto"/>
      </w:divBdr>
    </w:div>
    <w:div w:id="1898974414">
      <w:bodyDiv w:val="1"/>
      <w:marLeft w:val="0"/>
      <w:marRight w:val="0"/>
      <w:marTop w:val="0"/>
      <w:marBottom w:val="0"/>
      <w:divBdr>
        <w:top w:val="none" w:sz="0" w:space="0" w:color="auto"/>
        <w:left w:val="none" w:sz="0" w:space="0" w:color="auto"/>
        <w:bottom w:val="none" w:sz="0" w:space="0" w:color="auto"/>
        <w:right w:val="none" w:sz="0" w:space="0" w:color="auto"/>
      </w:divBdr>
    </w:div>
    <w:div w:id="1905143496">
      <w:bodyDiv w:val="1"/>
      <w:marLeft w:val="0"/>
      <w:marRight w:val="0"/>
      <w:marTop w:val="0"/>
      <w:marBottom w:val="0"/>
      <w:divBdr>
        <w:top w:val="none" w:sz="0" w:space="0" w:color="auto"/>
        <w:left w:val="none" w:sz="0" w:space="0" w:color="auto"/>
        <w:bottom w:val="none" w:sz="0" w:space="0" w:color="auto"/>
        <w:right w:val="none" w:sz="0" w:space="0" w:color="auto"/>
      </w:divBdr>
    </w:div>
    <w:div w:id="1924800303">
      <w:bodyDiv w:val="1"/>
      <w:marLeft w:val="0"/>
      <w:marRight w:val="0"/>
      <w:marTop w:val="0"/>
      <w:marBottom w:val="0"/>
      <w:divBdr>
        <w:top w:val="none" w:sz="0" w:space="0" w:color="auto"/>
        <w:left w:val="none" w:sz="0" w:space="0" w:color="auto"/>
        <w:bottom w:val="none" w:sz="0" w:space="0" w:color="auto"/>
        <w:right w:val="none" w:sz="0" w:space="0" w:color="auto"/>
      </w:divBdr>
    </w:div>
    <w:div w:id="196098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sa/4.0/" TargetMode="External"/><Relationship Id="rId13" Type="http://schemas.openxmlformats.org/officeDocument/2006/relationships/hyperlink" Target="http://www.wired.com/entertainment/magazine/17-08/st_robotdino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jsa@unj.ac.id" TargetMode="External"/><Relationship Id="rId1" Type="http://schemas.openxmlformats.org/officeDocument/2006/relationships/hyperlink" Target="https://journal.unj.ac.id/unj/index.php/statistika"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muliyati\Documents\JPPPF-UNJ\Template-JPPPF\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2BE36-E01B-4578-AA54-A5460FC47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8_point5_x11_single_column_template</Template>
  <TotalTime>0</TotalTime>
  <Pages>8</Pages>
  <Words>3245</Words>
  <Characters>18501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21703</CharactersWithSpaces>
  <SharedDoc>false</SharedDoc>
  <HLinks>
    <vt:vector size="12" baseType="variant">
      <vt:variant>
        <vt:i4>589908</vt:i4>
      </vt:variant>
      <vt:variant>
        <vt:i4>8</vt:i4>
      </vt:variant>
      <vt:variant>
        <vt:i4>0</vt:i4>
      </vt:variant>
      <vt:variant>
        <vt:i4>5</vt:i4>
      </vt:variant>
      <vt:variant>
        <vt:lpwstr>https://penerbitdeepublish.com/daftar-pustaka-harvard-style/</vt:lpwstr>
      </vt:variant>
      <vt:variant>
        <vt:lpwstr/>
      </vt:variant>
      <vt:variant>
        <vt:i4>3801184</vt:i4>
      </vt:variant>
      <vt:variant>
        <vt:i4>5</vt:i4>
      </vt:variant>
      <vt:variant>
        <vt:i4>0</vt:i4>
      </vt:variant>
      <vt:variant>
        <vt:i4>5</vt:i4>
      </vt:variant>
      <vt:variant>
        <vt:lpwstr>https://www.mendeley.com/guides/harvard-citation-guide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AKG-Based Household Calorie Deficit Classification in West Java Using Logistic-WOE and XGBoost</dc:title>
  <dc:subject>Group 4 working manuscript framework for STA 2551 classification modeling</dc:subject>
  <dc:creator>Group 4 (authors to be confirmed)</dc:creator>
  <cp:keywords/>
  <dc:description>Working draft generated from the provided JSA template; highlighted bracketed text requires completion or removal.</dc:description>
  <cp:lastModifiedBy>Ariq Muammar Riyantobi</cp:lastModifiedBy>
  <cp:revision>2</cp:revision>
  <cp:lastPrinted>2011-03-03T05:29:00Z</cp:lastPrinted>
  <dcterms:created xsi:type="dcterms:W3CDTF">2024-08-13T04:43:00Z</dcterms:created>
  <dcterms:modified xsi:type="dcterms:W3CDTF">2024-08-13T04:43:00Z</dcterms:modified>
</cp:coreProperties>
</file>