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FILIPE GAMA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Luís Filipe Costa Gama Batista Melo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design.filipegama@gmail.com  ·  linkedin.com/in/filipegama  ·  tipoexquisito.github.io/footscapes  ·  Porto, Portugal</w:t>
      </w:r>
    </w:p>
    <w:p>
      <w:pPr>
        <w:pBdr>
          <w:bottom w:val="single" w:color="8A6D00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8A6D00"/>
          <w:spacing w:val="10"/>
          <w:sz w:val="20"/>
          <w:szCs w:val="20"/>
        </w:rPr>
        <w:t xml:space="preserve">RESUMO PROFISSIONAL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Formador profissional e Learning Experience Designer, com mais de 15 anos de experiência a conceber e lecionar formação profissional, aprendizagem baseada em projetos e programas de educação inclusiva em escolas portuguesas, e experiência empresarial na coordenação de formação e desempenho de uma equipa de 60 pessoas na Farfetch. Tem background em Design de Comunicação e combina design instrucional, produção audiovisual e multimédia e pedagogia digital para construir formação prática e centrada no formando.</w:t>
      </w:r>
    </w:p>
    <w:p>
      <w:pPr>
        <w:pBdr>
          <w:bottom w:val="single" w:color="8A6D00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8A6D00"/>
          <w:spacing w:val="10"/>
          <w:sz w:val="20"/>
          <w:szCs w:val="20"/>
        </w:rPr>
        <w:t xml:space="preserve">ÁREAS DE COMPETÊNCIA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Learning Experience Design · Design Instrucional · Produção Multimédia e Audiovisual · Design de Comunicação e Fundamentos de UX/UI · Desenvolvimento Curricular · Aprendizagem Baseada em Projetos · Facilitação e Dinamização de Formação · Universal Design for Learning (UDL) · Aprendizagem Digital e b-Learning · Mentoria e Coaching · Melhoria Contínua (Kaizen)</w:t>
      </w:r>
    </w:p>
    <w:p>
      <w:pPr>
        <w:pBdr>
          <w:bottom w:val="single" w:color="8A6D00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8A6D00"/>
          <w:spacing w:val="10"/>
          <w:sz w:val="20"/>
          <w:szCs w:val="20"/>
        </w:rPr>
        <w:t xml:space="preserve">EXPERIÊNCIA PROFISSIONAL</w:t>
      </w:r>
    </w:p>
    <w:p>
      <w:pPr>
        <w:spacing w:after="30" w:before="110"/>
      </w:pPr>
      <w:r>
        <w:rPr>
          <w:rFonts w:ascii="Calibri" w:cs="Calibri" w:eastAsia="Calibri" w:hAnsi="Calibri"/>
          <w:b/>
          <w:bCs/>
          <w:i/>
          <w:iCs/>
          <w:color w:val="1A1A1A"/>
          <w:sz w:val="22"/>
          <w:szCs w:val="22"/>
        </w:rPr>
        <w:t xml:space="preserve">Formador Profissional e Docente do Ensino Profissional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—  Vários agrupamentos e escolas profissionais, Portugal  ·  2011 –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Conceção e lecionação de formação profissional nas áreas de Multimédia, Comunicação e Serviço Digital, Marketing e Vendas, Turismo, Apoio Psicossocial, Animação Sociocultural e Audiovisuais, nos Agrupamentos de Escolas de Arouca, Anadia, Arrifana, Vila Verde, Marco de Canaveses e Manoel de Oliveira, na Escola Profissional e Tecnológica Profensino e na Associação Arco Maior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Direção do Curso Profissional de Turismo (Anadia, 2024) e coordenação da ação Comunicar e Divulgar, no Plano Estratégico de Melhoria de Arouca 2016–17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Conceção e coordenação do Transforma-te, Transforma (2024–25), projeto interdisciplinar de 11 disciplinas sobre prevenção do bullying, com três produtos mediáticos publicados (podcast, jornal com ISSN, curta-metragem), avaliado com 5/5 na framework 21st Century Learning Design (21CLD)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Codireção do Laying European Table (2015–17), projeto Erasmus+ de dois anos letivos, em rede com escolas de Itália, Letónia, Polónia, Portugal e Turquia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Acompanhamento, ao longo de mais de uma década, de estágios de Formação em Contexto de Trabalho (FCT) e Provas de Aptidão Profissional (PAP)</w:t>
      </w:r>
    </w:p>
    <w:p>
      <w:pPr>
        <w:spacing w:after="30" w:before="110"/>
      </w:pPr>
      <w:r>
        <w:rPr>
          <w:rFonts w:ascii="Calibri" w:cs="Calibri" w:eastAsia="Calibri" w:hAnsi="Calibri"/>
          <w:b/>
          <w:bCs/>
          <w:i/>
          <w:iCs/>
          <w:color w:val="1A1A1A"/>
          <w:sz w:val="22"/>
          <w:szCs w:val="22"/>
        </w:rPr>
        <w:t xml:space="preserve">Designer de Comunicação e Consultor de Procedimentos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—  SIGIA  ·  Jun 2020 – Jan 2023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 de materiais de comunicação e gestão da base de dados de saúde pública do projeto COVID-19 Safety, Preparedness and Response Plan (SPRP), para a Organização Mundial de Saúde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Consultoria em modalidades de visualização de dados e interação, para sistemas de informação de saúde pública</w:t>
      </w:r>
    </w:p>
    <w:p>
      <w:pPr>
        <w:spacing w:after="30" w:before="110"/>
      </w:pPr>
      <w:r>
        <w:rPr>
          <w:rFonts w:ascii="Calibri" w:cs="Calibri" w:eastAsia="Calibri" w:hAnsi="Calibri"/>
          <w:b/>
          <w:bCs/>
          <w:i/>
          <w:iCs/>
          <w:color w:val="1A1A1A"/>
          <w:sz w:val="22"/>
          <w:szCs w:val="22"/>
        </w:rPr>
        <w:t xml:space="preserve">Gestor Administrativo e Community Manager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—  Armazém Cowork  ·  Jan 2019 – Jan 2022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Gestão de comunidade, clientes, fornecedores e espaços partilhados; produção de eventos e coordenação de residências artísticas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 de materiais de comunicação, gestão de redes sociais e administração das operações do dia a dia</w:t>
      </w:r>
    </w:p>
    <w:p>
      <w:pPr>
        <w:spacing w:after="30" w:before="110"/>
      </w:pPr>
      <w:r>
        <w:rPr>
          <w:rFonts w:ascii="Calibri" w:cs="Calibri" w:eastAsia="Calibri" w:hAnsi="Calibri"/>
          <w:b/>
          <w:bCs/>
          <w:i/>
          <w:iCs/>
          <w:color w:val="1A1A1A"/>
          <w:sz w:val="22"/>
          <w:szCs w:val="22"/>
        </w:rPr>
        <w:t xml:space="preserve">Coordenador de Equipa de Pós-Produção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—  Farfetch  ·  Set 2017 – Set 2018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Supervisão de uma equipa de edição de imagem de mais de 60 pessoas e gestão da produção digital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Análise de indicadores de produtividade e qualidade (KPI) e conceção de formação em melhoria contínua, com a metodologia Kaizen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Mentoria de colegas através de planos de desenvolvimento pessoal e apoio à Formação em Contexto de Trabalho de estagiários</w:t>
      </w:r>
    </w:p>
    <w:p>
      <w:pPr>
        <w:spacing w:after="30" w:before="110"/>
      </w:pPr>
      <w:r>
        <w:rPr>
          <w:rFonts w:ascii="Calibri" w:cs="Calibri" w:eastAsia="Calibri" w:hAnsi="Calibri"/>
          <w:b/>
          <w:bCs/>
          <w:i/>
          <w:iCs/>
          <w:color w:val="1A1A1A"/>
          <w:sz w:val="22"/>
          <w:szCs w:val="22"/>
        </w:rPr>
        <w:t xml:space="preserve">Designer de Comunicação Freelancer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—  Trabalhador independente  ·  Desde 2003</w:t>
      </w:r>
    </w:p>
    <w:p>
      <w:pPr>
        <w:pBdr>
          <w:bottom w:val="single" w:color="8A6D00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8A6D00"/>
          <w:spacing w:val="10"/>
          <w:sz w:val="20"/>
          <w:szCs w:val="20"/>
        </w:rPr>
        <w:t xml:space="preserve">FORMAÇÃO ACADÉMICA E CONTÍNUA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1º ciclo de Mestrado em Multimédia (especialização em Educação, incompleto) — FEUP, Porto, 2017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Licenciatura em Design de Comunicação — ESAD, Matosinhos, 2008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Formação profissional recente (2020–2026)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ACD IV Jornadas Pedagógicas do Agrupamento de Escolas de Arrifana (orador) — CFTSM, Arrifana, julho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Desenvolver Competências Socioemocionais em tempos da Inteligência Artificial (25h) — Universidade Católica e Arco Maior, Porto, julho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Prevenção dos Comportamentos Aditivos e das Dependências (25h) — CFAE Guilhermina Suggia, Porto, maio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Innovative and Active Methodologies for Teaching and Learning (40h) — mobilidade Erasmus+ KA1, English Matters, Madrid, maio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Conceção de Atividades em e-/b-Learning para os Ensinos Básico e Secundário (25h) — CFTSM, Arrifana, maio 2026, classificação Muito Bom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Estratégias de motivação e construção de parcerias para um ensino profissional de excelência — CFVM, Vila Verde,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Mediação e gestão de conflitos: contributos para a melhoria escolar (50h) — CFEPO, Porto, 2024–25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Google Project Management — Google, 2024 (incompleto)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Portefólios digitais como instrumentos de avaliação formativa (30h) — CFEPO, Porto, 2023</w:t>
      </w:r>
    </w:p>
    <w:p>
      <w:pPr>
        <w:pBdr>
          <w:bottom w:val="single" w:color="8A6D00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8A6D00"/>
          <w:spacing w:val="10"/>
          <w:sz w:val="20"/>
          <w:szCs w:val="20"/>
        </w:rPr>
        <w:t xml:space="preserve">LÍNGUAS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Português (nativo)  ·  Inglês (C1 leitura e compreensão oral, B2 produção oral)  ·  Espanhol (B1)</w:t>
      </w:r>
    </w:p>
    <w:sectPr>
      <w:pgSz w:w="11906" w:h="16838" w:orient="portrait"/>
      <w:pgMar w:top="56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2026-07-16T21:23:25.110Z</dcterms:created>
  <dcterms:modified xsi:type="dcterms:W3CDTF">2026-07-16T21:23:25.115Z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