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76" w:lineRule="auto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ОБЩЕСТВО С ОГРАНИЧЕННОЙ ОТВЕТСТВЕННОСТЬЮ</w:t>
        <w:br/>
        <w:t>«ПРОЕКТНЫЕ СИСТЕМЫ»</w:t>
      </w:r>
    </w:p>
    <w:p>
      <w:pPr>
        <w:spacing w:before="40" w:after="140" w:line="276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СЛУЖЕБНАЯ ЗАПИСКА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654"/>
      </w:tblGrid>
      <w:tr>
        <w:tc>
          <w:tcPr>
            <w:tcW w:type="dxa" w:w="4986"/>
            <w:tcMar>
              <w:top w:w="35" w:type="dxa"/>
              <w:start w:w="20" w:type="dxa"/>
              <w:bottom w:w="35" w:type="dxa"/>
              <w:end w:w="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Кому:</w:t>
            </w:r>
          </w:p>
        </w:tc>
        <w:tc>
          <w:tcPr>
            <w:tcW w:type="dxa" w:w="4986"/>
            <w:tcMar>
              <w:top w:w="35" w:type="dxa"/>
              <w:start w:w="20" w:type="dxa"/>
              <w:bottom w:w="35" w:type="dxa"/>
              <w:end w:w="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Главному бухгалтеру Морозовой И.П.</w:t>
            </w:r>
          </w:p>
        </w:tc>
      </w:tr>
      <w:tr>
        <w:tc>
          <w:tcPr>
            <w:tcW w:type="dxa" w:w="4986"/>
            <w:tcMar>
              <w:top w:w="35" w:type="dxa"/>
              <w:start w:w="20" w:type="dxa"/>
              <w:bottom w:w="35" w:type="dxa"/>
              <w:end w:w="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От кого:</w:t>
            </w:r>
          </w:p>
        </w:tc>
        <w:tc>
          <w:tcPr>
            <w:tcW w:type="dxa" w:w="4986"/>
            <w:tcMar>
              <w:top w:w="35" w:type="dxa"/>
              <w:start w:w="20" w:type="dxa"/>
              <w:bottom w:w="35" w:type="dxa"/>
              <w:end w:w="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Финансового директора Лебедева М.О.</w:t>
            </w:r>
          </w:p>
        </w:tc>
      </w:tr>
      <w:tr>
        <w:tc>
          <w:tcPr>
            <w:tcW w:type="dxa" w:w="4986"/>
            <w:tcMar>
              <w:top w:w="35" w:type="dxa"/>
              <w:start w:w="20" w:type="dxa"/>
              <w:bottom w:w="35" w:type="dxa"/>
              <w:end w:w="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Дата:</w:t>
            </w:r>
          </w:p>
        </w:tc>
        <w:tc>
          <w:tcPr>
            <w:tcW w:type="dxa" w:w="4986"/>
            <w:tcMar>
              <w:top w:w="35" w:type="dxa"/>
              <w:start w:w="20" w:type="dxa"/>
              <w:bottom w:w="35" w:type="dxa"/>
              <w:end w:w="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07 сентября 2026 г.</w:t>
            </w:r>
          </w:p>
        </w:tc>
      </w:tr>
      <w:tr>
        <w:tc>
          <w:tcPr>
            <w:tcW w:type="dxa" w:w="4986"/>
            <w:tcMar>
              <w:top w:w="35" w:type="dxa"/>
              <w:start w:w="20" w:type="dxa"/>
              <w:bottom w:w="35" w:type="dxa"/>
              <w:end w:w="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№:</w:t>
            </w:r>
          </w:p>
        </w:tc>
        <w:tc>
          <w:tcPr>
            <w:tcW w:type="dxa" w:w="4986"/>
            <w:tcMar>
              <w:top w:w="35" w:type="dxa"/>
              <w:start w:w="20" w:type="dxa"/>
              <w:bottom w:w="35" w:type="dxa"/>
              <w:end w:w="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ФД-12/26</w:t>
            </w:r>
          </w:p>
        </w:tc>
      </w:tr>
    </w:tbl>
    <w:p>
      <w:pPr>
        <w:spacing w:before="200" w:after="200" w:line="276" w:lineRule="auto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О дополнительной проверке расходов на проживание</w:t>
      </w:r>
    </w:p>
    <w:p>
      <w:pPr>
        <w:spacing w:before="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В целях единообразного контроля командировочных расходов и снижения риска ошибочного применения лимитов прошу с 8 сентября 2026 г. проводить дополнительную проверку документов по расходам на проживание, если стоимость одной ночи превышает 10 000 (Десять тысяч) рублей.</w:t>
      </w:r>
    </w:p>
    <w:p>
      <w:pPr>
        <w:spacing w:before="0" w:after="6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В рамках дополнительной проверки необходимо установить:</w:t>
      </w:r>
    </w:p>
    <w:p>
      <w:pPr>
        <w:spacing w:after="40" w:line="276" w:lineRule="auto"/>
        <w:ind w:left="709" w:hanging="369"/>
        <w:jc w:val="both"/>
      </w:pPr>
      <w:r>
        <w:rPr>
          <w:rFonts w:ascii="Times New Roman" w:hAnsi="Times New Roman" w:eastAsia="Times New Roman"/>
          <w:b w:val="0"/>
          <w:sz w:val="24"/>
        </w:rPr>
        <w:t>1) наличие согласованной заявки на командировку и приказа о направлении работника;</w:t>
      </w:r>
    </w:p>
    <w:p>
      <w:pPr>
        <w:spacing w:after="40" w:line="276" w:lineRule="auto"/>
        <w:ind w:left="709" w:hanging="369"/>
        <w:jc w:val="both"/>
      </w:pPr>
      <w:r>
        <w:rPr>
          <w:rFonts w:ascii="Times New Roman" w:hAnsi="Times New Roman" w:eastAsia="Times New Roman"/>
          <w:b w:val="0"/>
          <w:sz w:val="24"/>
        </w:rPr>
        <w:t>2) соответствие периода проживания срокам командировки;</w:t>
      </w:r>
    </w:p>
    <w:p>
      <w:pPr>
        <w:spacing w:after="40" w:line="276" w:lineRule="auto"/>
        <w:ind w:left="709" w:hanging="369"/>
        <w:jc w:val="both"/>
      </w:pPr>
      <w:r>
        <w:rPr>
          <w:rFonts w:ascii="Times New Roman" w:hAnsi="Times New Roman" w:eastAsia="Times New Roman"/>
          <w:b w:val="0"/>
          <w:sz w:val="24"/>
        </w:rPr>
        <w:t>3) наличие счёта средства размещения и подтверждения оплаты;</w:t>
      </w:r>
    </w:p>
    <w:p>
      <w:pPr>
        <w:spacing w:after="40" w:line="276" w:lineRule="auto"/>
        <w:ind w:left="709" w:hanging="369"/>
        <w:jc w:val="both"/>
      </w:pPr>
      <w:r>
        <w:rPr>
          <w:rFonts w:ascii="Times New Roman" w:hAnsi="Times New Roman" w:eastAsia="Times New Roman"/>
          <w:b w:val="0"/>
          <w:sz w:val="24"/>
        </w:rPr>
        <w:t>4) применимый к расходу лимит с учётом Положения о служебных командировках № ЛНА-07/2026 и действующих приказов генерального директора;</w:t>
      </w:r>
    </w:p>
    <w:p>
      <w:pPr>
        <w:spacing w:after="40" w:line="276" w:lineRule="auto"/>
        <w:ind w:left="709" w:hanging="369"/>
        <w:jc w:val="both"/>
      </w:pPr>
      <w:r>
        <w:rPr>
          <w:rFonts w:ascii="Times New Roman" w:hAnsi="Times New Roman" w:eastAsia="Times New Roman"/>
          <w:b w:val="0"/>
          <w:sz w:val="24"/>
        </w:rPr>
        <w:t>5) правильность отнесения расхода на проект или центр затрат.</w:t>
      </w:r>
    </w:p>
    <w:p>
      <w:pPr>
        <w:spacing w:before="80" w:after="8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По результатам проверки в карточке авансового отчёта в СЭД следует проставлять отметку «Дополнительная проверка выполнена» и указывать документ, которым установлен применённый лимит.</w:t>
      </w:r>
    </w:p>
    <w:p>
      <w:pPr>
        <w:spacing w:before="0" w:after="20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При выявлении расхождений или недостаточности документов авансовый отчёт направляется работнику на уточнение. Решение о принятии расхода принимается после получения необходимых сведений в соответствии с действующими локальными актами и приказами Общества.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515"/>
            <w:tcMar>
              <w:top w:w="0" w:type="dxa"/>
              <w:start w:w="0" w:type="dxa"/>
              <w:bottom w:w="0" w:type="dxa"/>
              <w:end w:w="0" w:type="dxa"/>
            </w:tcMar>
            <w:vAlign w:val="bottom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Финансовый директор</w:t>
            </w:r>
          </w:p>
        </w:tc>
        <w:tc>
          <w:tcPr>
            <w:tcW w:type="dxa" w:w="2835"/>
            <w:tcMar>
              <w:top w:w="0" w:type="dxa"/>
              <w:start w:w="0" w:type="dxa"/>
              <w:bottom w:w="0" w:type="dxa"/>
              <w:end w:w="0" w:type="dxa"/>
            </w:tcMar>
            <w:vAlign w:val="bottom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______________</w:t>
            </w:r>
          </w:p>
        </w:tc>
        <w:tc>
          <w:tcPr>
            <w:tcW w:type="dxa" w:w="3061"/>
            <w:tcMar>
              <w:top w:w="0" w:type="dxa"/>
              <w:start w:w="0" w:type="dxa"/>
              <w:bottom w:w="0" w:type="dxa"/>
              <w:end w:w="0" w:type="dxa"/>
            </w:tcMar>
            <w:vAlign w:val="bottom"/>
          </w:tcPr>
          <w:p>
            <w:pPr>
              <w:jc w:val="righ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М.О. Лебедев</w:t>
            </w:r>
          </w:p>
        </w:tc>
      </w:tr>
    </w:tbl>
    <w:p/>
    <w:p>
      <w:pPr>
        <w:spacing w:before="80" w:after="0" w:line="276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18"/>
        </w:rPr>
        <w:t>Исполнитель: Воронова А.А., ведущий специалист финансовой дирекции</w:t>
      </w:r>
    </w:p>
    <w:sectPr w:rsidR="00FC693F" w:rsidRPr="0006063C" w:rsidSect="00034616">
      <w:pgSz w:w="12240" w:h="15840"/>
      <w:pgMar w:top="964" w:right="850" w:bottom="96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Служебная записка ФД-12/26</dc:title>
  <dc:subject>Дополнительная проверка расходов на проживание</dc:subject>
  <dc:creator>ООО «Проектные системы»</dc:creator>
  <cp:keywords>командировки, проживание, проверка расходов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