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  <w:jc w:val="center"/>
      </w:pPr>
      <w:r>
        <w:rPr>
          <w:rFonts w:ascii="Arial" w:hAnsi="Arial" w:eastAsia="Arial"/>
          <w:b/>
          <w:i w:val="0"/>
          <w:sz w:val="24"/>
        </w:rPr>
        <w:t>ЛИСТ СОГЛАСОВАНИЯ СЧЁТА</w:t>
      </w:r>
    </w:p>
    <w:p>
      <w:pPr>
        <w:spacing w:after="0" w:before="0" w:line="240" w:lineRule="auto"/>
        <w:jc w:val="left"/>
      </w:pPr>
      <w:r>
        <w:rPr>
          <w:rFonts w:ascii="Arial" w:hAnsi="Arial" w:eastAsia="Arial"/>
          <w:b w:val="0"/>
          <w:i w:val="0"/>
          <w:sz w:val="22"/>
        </w:rPr>
        <w:t>Техническое подразделение: оказание услуг за июль 2026 г. подтверждено.</w:t>
      </w:r>
    </w:p>
    <w:p>
      <w:pPr>
        <w:spacing w:after="0" w:before="0" w:line="240" w:lineRule="auto"/>
        <w:jc w:val="left"/>
      </w:pPr>
      <w:r>
        <w:rPr>
          <w:rFonts w:ascii="Arial" w:hAnsi="Arial" w:eastAsia="Arial"/>
          <w:b w:val="0"/>
          <w:i w:val="0"/>
          <w:sz w:val="22"/>
        </w:rPr>
        <w:t>Финансовая служба: счёт направлен на договорную проверку.</w:t>
      </w:r>
    </w:p>
    <w:p>
      <w:pPr>
        <w:spacing w:after="0" w:before="0" w:line="240" w:lineRule="auto"/>
        <w:jc w:val="left"/>
      </w:pPr>
      <w:r>
        <w:rPr>
          <w:rFonts w:ascii="Arial" w:hAnsi="Arial" w:eastAsia="Arial"/>
          <w:b w:val="0"/>
          <w:i w:val="0"/>
          <w:sz w:val="22"/>
        </w:rPr>
        <w:t>Лист согласования не подтверждает правильность цены без сверки договора и дополнительного соглашения.</w:t>
      </w:r>
    </w:p>
    <w:sectPr w:rsidR="00FC693F" w:rsidRPr="0006063C" w:rsidSect="00034616">
      <w:pgSz w:w="11906" w:h="16838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