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8"/>
          <w:sz w:val="21"/>
        </w:rPr>
        <w:t>ООО «Северный контур»</w:t>
      </w:r>
    </w:p>
    <w:p>
      <w:pPr>
        <w:pStyle w:val="DocTitle"/>
        <w:jc w:val="center"/>
      </w:pPr>
      <w:r>
        <w:t>ДОГОВОР АРЕНДЫ ВЫДЕЛЕННОГО СЕРВЕРНОГО РЕСУРСА № СР-01/26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tcBorders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1 января 2026 г.</w:t>
            </w:r>
          </w:p>
        </w:tc>
      </w:tr>
    </w:tbl>
    <w:p>
      <w:pPr>
        <w:spacing w:after="0"/>
      </w:pPr>
    </w:p>
    <w:p>
      <w:pPr>
        <w:pStyle w:val="SectionTitle"/>
      </w:pPr>
      <w:r>
        <w:t>1. Предмет договора</w:t>
      </w:r>
    </w:p>
    <w:p>
      <w:pPr>
        <w:ind w:left="113"/>
      </w:pPr>
      <w:r>
        <w:t>1.1. Исполнитель: ООО «ДатаХост».</w:t>
      </w:r>
    </w:p>
    <w:p>
      <w:pPr>
        <w:ind w:left="113"/>
      </w:pPr>
      <w:r>
        <w:t>1.2. Заказчик: ООО «Северный контур».</w:t>
      </w:r>
    </w:p>
    <w:p>
      <w:pPr>
        <w:ind w:left="113"/>
      </w:pPr>
      <w:r>
        <w:t>1.3. Исполнитель предоставляет заказчику выделенный серверный ресурс для размещения и сопровождения прикладных сервисов.</w:t>
      </w:r>
    </w:p>
    <w:p>
      <w:pPr>
        <w:pStyle w:val="SectionTitle"/>
      </w:pPr>
      <w:r>
        <w:t>2. Стоимость и срок</w:t>
      </w:r>
    </w:p>
    <w:p>
      <w:pPr>
        <w:ind w:left="113"/>
      </w:pPr>
      <w:r>
        <w:t>2.1. Стоимость аренды составляет 200 000 руб. в месяц.</w:t>
      </w:r>
    </w:p>
    <w:p>
      <w:pPr>
        <w:ind w:left="113"/>
      </w:pPr>
      <w:r>
        <w:t>2.2. Договор действует с 1 января 2026 г. по 31 декабря 2026 г. включительно.</w:t>
      </w:r>
    </w:p>
    <w:p>
      <w:pPr>
        <w:pStyle w:val="SectionTitle"/>
      </w:pPr>
      <w:r>
        <w:t>3. Изменение условий</w:t>
      </w:r>
    </w:p>
    <w:p>
      <w:pPr>
        <w:ind w:left="113"/>
      </w:pPr>
      <w:r>
        <w:t>3.1. Изменение цены допускается только на основании подписанного сторонами письменного дополнительного соглашения.</w:t>
      </w:r>
    </w:p>
    <w:p>
      <w:pPr>
        <w:ind w:left="113"/>
      </w:pPr>
      <w:r>
        <w:t>3.2. Новая редакция цены применяется с даты, прямо указанной в дополнительном соглашении.</w:t>
      </w:r>
    </w:p>
    <w:p>
      <w:pPr>
        <w:ind w:left="113"/>
      </w:pPr>
      <w:r>
        <w:t>3.3. Остальные условия договора сохраняют силу, если стороны не согласовали иное.</w:t>
      </w: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00"/>
    </w:pPr>
    <w:rPr>
      <w:rFonts w:ascii="Arial" w:hAnsi="Arial"/>
      <w:b/>
      <w:color w:val="1F4E78"/>
      <w:sz w:val="30"/>
    </w:rPr>
  </w:style>
  <w:style w:type="paragraph" w:customStyle="1" w:styleId="SectionTitle">
    <w:name w:val="SectionTitle"/>
    <w:pPr>
      <w:spacing w:after="100"/>
    </w:pPr>
    <w:rPr>
      <w:rFonts w:ascii="Arial" w:hAnsi="Arial"/>
      <w:b/>
      <w:color w:val="1F4E78"/>
      <w:sz w:val="22"/>
    </w:rPr>
  </w:style>
  <w:style w:type="paragraph" w:customStyle="1" w:styleId="SmallMeta">
    <w:name w:val="SmallMeta"/>
    <w:pPr>
      <w:spacing w:after="100"/>
    </w:pPr>
    <w:rPr>
      <w:rFonts w:ascii="Arial" w:hAnsi="Arial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