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21"/>
        </w:rPr>
        <w:t>ООО «ДатаХост»</w:t>
      </w:r>
    </w:p>
    <w:p>
      <w:pPr>
        <w:pStyle w:val="DocTitle"/>
        <w:jc w:val="center"/>
      </w:pPr>
      <w:r>
        <w:t>СЧЁТ № 07/2026-01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0200"/>
            <w:gridSpan w:val="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ПЛАТЁЖНЫЕ ДАННЫЕ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Период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июль 2026 г.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Плательщик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ООО «Северный контур»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Исполнитель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ООО «ДатаХост»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Основание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договор № СР-01/26 и дополнительное соглашение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Сумма к оплате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240 000 руб.</w:t>
            </w:r>
          </w:p>
        </w:tc>
      </w:tr>
    </w:tbl>
    <w:p>
      <w:pPr>
        <w:spacing w:after="0"/>
      </w:pPr>
    </w:p>
    <w:p>
      <w:pPr>
        <w:spacing w:before="120"/>
      </w:pPr>
      <w:r>
        <w:t>Счёт фиксирует сумму к оплате, но не подтверждает сам по себе правильность применённой редакции цены.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