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614E33C0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2026080900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        </w:t>
      </w:r>
    </w:p>
    <w:p w14:paraId="2520C21B">
      <w:pPr>
        <w:widowControl/>
        <w:shd w:val="clear" w:color="auto" w:fill="FFFFFF"/>
        <w:spacing w:before="156" w:beforeLines="50" w:line="360" w:lineRule="atLeast"/>
        <w:jc w:val="left"/>
        <w:rPr>
          <w:rFonts w:hint="default" w:ascii="宋体" w:hAnsi="宋体" w:eastAsia="宋体" w:cs="Arial"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“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护眼精灵”智能提醒休息工具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</w:t>
      </w:r>
    </w:p>
    <w:p w14:paraId="387A45D8">
      <w:pPr>
        <w:widowControl/>
        <w:shd w:val="clear" w:color="auto" w:fill="FFFFFF"/>
        <w:spacing w:before="156" w:beforeLines="50" w:line="360" w:lineRule="atLeast"/>
        <w:jc w:val="left"/>
        <w:rPr>
          <w:rFonts w:hint="default" w:ascii="宋体" w:hAnsi="宋体" w:eastAsia="宋体" w:cs="Arial"/>
          <w:color w:val="333333"/>
          <w:kern w:val="0"/>
          <w:sz w:val="32"/>
          <w:szCs w:val="32"/>
          <w:lang w:val="en-US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lang w:val="en-US" w:eastAsia="zh-CN"/>
        </w:rPr>
        <w:t xml:space="preserve">   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者：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宋怡哲、杨宇、李天赐、钱湘、张子宁  </w:t>
      </w:r>
    </w:p>
    <w:p w14:paraId="01F4B28E">
      <w:pPr>
        <w:widowControl/>
        <w:shd w:val="clear" w:color="auto" w:fill="FFFFFF"/>
        <w:spacing w:before="156" w:beforeLines="5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版本编号：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        v1.3.0                  </w:t>
      </w:r>
    </w:p>
    <w:p w14:paraId="0001C671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5D1E1377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30EFD9F5">
      <w:pPr>
        <w:widowControl/>
        <w:shd w:val="clear" w:color="auto" w:fill="FFFFFF"/>
        <w:spacing w:before="156" w:beforeLines="50" w:after="624" w:afterLines="200" w:line="360" w:lineRule="atLeast"/>
        <w:jc w:val="left"/>
        <w:rPr>
          <w:rFonts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              2026.4.28              </w:t>
      </w: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5537200"/>
                <wp:effectExtent l="4445" t="4445" r="13970" b="1143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553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2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项目中涉及应用人工智能大模型的内容，务必在各个部分从以下四个方面说明清楚。</w:t>
                            </w:r>
                          </w:p>
                          <w:p w14:paraId="67EBAF57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hanging="420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436pt;width:391.55pt;z-index:251659264;mso-width-relative:page;mso-height-relative:page;" fillcolor="#FFFFFF [3201]" filled="t" stroked="t" coordsize="21600,21600" o:gfxdata="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u96jNYAAAAJAQAADwAAAAAAAAABACAAAAAiAAAAZHJzL2Rvd25yZXYueG1sUEsBAhQAFAAA&#10;AAgAh07iQJFefuZ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2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项目中涉及应用人工智能大模型的内容，务必在各个部分从以下四个方面说明清楚。</w:t>
                      </w:r>
                    </w:p>
                    <w:p w14:paraId="67EBAF57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hanging="420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677A7BB3">
      <w:pPr>
        <w:widowControl/>
        <w:ind w:firstLine="420"/>
        <w:jc w:val="left"/>
      </w:pPr>
    </w:p>
    <w:p w14:paraId="64AA122B">
      <w:pPr>
        <w:widowControl/>
        <w:ind w:firstLine="420"/>
        <w:jc w:val="left"/>
      </w:pPr>
    </w:p>
    <w:p w14:paraId="7F3B5D1B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69949CE1">
      <w:pPr>
        <w:jc w:val="center"/>
        <w:rPr>
          <w:sz w:val="32"/>
          <w:szCs w:val="32"/>
        </w:rPr>
      </w:pPr>
      <w:r>
        <w:rPr>
          <w:sz w:val="32"/>
          <w:szCs w:val="32"/>
        </w:rPr>
        <w:t>目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录</w:t>
      </w:r>
    </w:p>
    <w:p w14:paraId="5DFE8EEC">
      <w:pPr>
        <w:pStyle w:val="10"/>
        <w:rPr>
          <w:b w:val="0"/>
          <w:sz w:val="21"/>
          <w:szCs w:val="22"/>
        </w:rPr>
      </w:pPr>
      <w:r>
        <w:rPr>
          <w:rFonts w:ascii="华文楷体" w:hAnsi="华文楷体" w:eastAsia="华文楷体"/>
          <w:b w:val="0"/>
          <w:bCs/>
          <w:lang w:val="zh-CN"/>
        </w:rPr>
        <w:fldChar w:fldCharType="begin"/>
      </w:r>
      <w:r>
        <w:rPr>
          <w:rFonts w:ascii="华文楷体" w:hAnsi="华文楷体" w:eastAsia="华文楷体"/>
          <w:b w:val="0"/>
          <w:bCs/>
          <w:lang w:val="zh-CN"/>
        </w:rPr>
        <w:instrText xml:space="preserve"> TOC \o "1-3" \h \z \u </w:instrText>
      </w:r>
      <w:r>
        <w:rPr>
          <w:rFonts w:ascii="华文楷体" w:hAnsi="华文楷体" w:eastAsia="华文楷体"/>
          <w:b w:val="0"/>
          <w:bCs/>
          <w:lang w:val="zh-CN"/>
        </w:rPr>
        <w:fldChar w:fldCharType="separate"/>
      </w:r>
      <w:r>
        <w:fldChar w:fldCharType="begin"/>
      </w:r>
      <w:r>
        <w:instrText xml:space="preserve"> HYPERLINK \l "_Toc100040660" </w:instrText>
      </w:r>
      <w:r>
        <w:fldChar w:fldCharType="separate"/>
      </w:r>
      <w:r>
        <w:rPr>
          <w:rStyle w:val="17"/>
          <w:b w:val="0"/>
        </w:rPr>
        <w:t>第一章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需求分析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_Toc100040660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08CF647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"_Toc100040661" </w:instrText>
      </w:r>
      <w:r>
        <w:fldChar w:fldCharType="separate"/>
      </w:r>
      <w:r>
        <w:rPr>
          <w:rStyle w:val="17"/>
          <w:b w:val="0"/>
        </w:rPr>
        <w:t>第二章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概要设计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_Toc100040661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20AB6FF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"_Toc100040662" </w:instrText>
      </w:r>
      <w:r>
        <w:fldChar w:fldCharType="separate"/>
      </w:r>
      <w:r>
        <w:rPr>
          <w:rStyle w:val="17"/>
          <w:b w:val="0"/>
        </w:rPr>
        <w:t>第三章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详细设计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_Toc100040662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7926357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"_Toc100040663" </w:instrText>
      </w:r>
      <w:r>
        <w:fldChar w:fldCharType="separate"/>
      </w:r>
      <w:r>
        <w:rPr>
          <w:rStyle w:val="17"/>
          <w:b w:val="0"/>
        </w:rPr>
        <w:t>第四章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测试报告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_Toc100040663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3593C593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"_Toc100040664" </w:instrText>
      </w:r>
      <w:r>
        <w:fldChar w:fldCharType="separate"/>
      </w:r>
      <w:r>
        <w:rPr>
          <w:rStyle w:val="17"/>
          <w:b w:val="0"/>
        </w:rPr>
        <w:t>第五章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安装及使用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_Toc100040664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658E1A9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"_Toc100040665" </w:instrText>
      </w:r>
      <w:r>
        <w:fldChar w:fldCharType="separate"/>
      </w:r>
      <w:r>
        <w:rPr>
          <w:rStyle w:val="17"/>
          <w:b w:val="0"/>
        </w:rPr>
        <w:t>第六章</w:t>
      </w:r>
      <w:r>
        <w:rPr>
          <w:b w:val="0"/>
          <w:sz w:val="21"/>
          <w:szCs w:val="22"/>
        </w:rPr>
        <w:tab/>
      </w:r>
      <w:r>
        <w:rPr>
          <w:rStyle w:val="17"/>
          <w:b w:val="0"/>
        </w:rPr>
        <w:t>项目总结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_Toc100040665 \h </w:instrText>
      </w:r>
      <w:r>
        <w:rPr>
          <w:b w:val="0"/>
        </w:rPr>
        <w:fldChar w:fldCharType="separate"/>
      </w:r>
      <w:r>
        <w:rPr>
          <w:b w:val="0"/>
        </w:rPr>
        <w:t>6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1304310E">
      <w:pPr>
        <w:pStyle w:val="10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"_Toc100040666" </w:instrText>
      </w:r>
      <w:r>
        <w:fldChar w:fldCharType="separate"/>
      </w:r>
      <w:r>
        <w:rPr>
          <w:rStyle w:val="17"/>
          <w:b w:val="0"/>
        </w:rPr>
        <w:t>参考文献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_Toc100040666 \h </w:instrText>
      </w:r>
      <w:r>
        <w:rPr>
          <w:b w:val="0"/>
        </w:rPr>
        <w:fldChar w:fldCharType="separate"/>
      </w:r>
      <w:r>
        <w:rPr>
          <w:b w:val="0"/>
        </w:rPr>
        <w:t>7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87FF6DC">
      <w:pPr>
        <w:pStyle w:val="10"/>
        <w:rPr>
          <w:b w:val="0"/>
        </w:rPr>
      </w:pPr>
      <w:r>
        <w:rPr>
          <w:rFonts w:ascii="华文楷体" w:hAnsi="华文楷体" w:eastAsia="华文楷体"/>
          <w:b w:val="0"/>
          <w:lang w:val="zh-CN"/>
        </w:rPr>
        <w:fldChar w:fldCharType="end"/>
      </w:r>
    </w:p>
    <w:p w14:paraId="251DEDAD">
      <w:pPr>
        <w:pStyle w:val="2"/>
      </w:pPr>
      <w:bookmarkStart w:id="0" w:name="_Toc100040660"/>
      <w:r>
        <w:rPr>
          <w:rFonts w:hint="eastAsia"/>
        </w:rPr>
        <w:t>需求分析</w:t>
      </w:r>
      <w:bookmarkEnd w:id="0"/>
    </w:p>
    <w:p w14:paraId="343CA49E">
      <w:pPr>
        <w:pStyle w:val="3"/>
        <w:bidi w:val="0"/>
        <w:rPr>
          <w:rFonts w:hint="default" w:eastAsia="黑体"/>
          <w:lang w:val="en-US" w:eastAsia="zh-CN"/>
        </w:rPr>
      </w:pPr>
      <w:bookmarkStart w:id="1" w:name="_Toc100040661"/>
      <w:r>
        <w:rPr>
          <w:rFonts w:hint="eastAsia"/>
          <w:lang w:val="en-US" w:eastAsia="zh-CN"/>
        </w:rPr>
        <w:t>1.1</w:t>
      </w:r>
      <w:r>
        <w:rPr>
          <w:rFonts w:hint="eastAsia"/>
        </w:rPr>
        <w:t>开发背景与</w:t>
      </w:r>
      <w:r>
        <w:rPr>
          <w:rFonts w:hint="eastAsia"/>
          <w:lang w:val="en-US" w:eastAsia="zh-CN"/>
        </w:rPr>
        <w:t>用户痛点</w:t>
      </w:r>
    </w:p>
    <w:p w14:paraId="3D682148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在数字经济时代，程序员、设计师、文案创作者等“数字劳工”及广大学生群体日均屏幕使用时间远超健康警戒线。世界卫生组织（WHO）及多项眼科研究指出，长时间凝视屏幕会导致眨眼频率降低60%以上，引发干眼症、视疲劳及不可逆的视力损伤。 当前市场痛点在于：传统护眼软件往往采用“粗暴的一刀切定时锁屏”策略，极易打断用户的“心流”（Flow）状态，导致用户产生强烈的抵触情绪并频繁选择“跳过”；同时，仅靠软件定时，缺乏对用户真实物理状态（如视距过近、久未眨眼）的动态感知。</w:t>
      </w:r>
    </w:p>
    <w:p w14:paraId="51306F7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13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1.2竞品分析与核心优势</w:t>
      </w:r>
    </w:p>
    <w:p w14:paraId="22463346">
      <w:pPr>
        <w:spacing w:after="120"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相比于市面现有产品，本作品实现了从“被动定时”向“主动感知+柔性干预”的跨越：</w:t>
      </w:r>
    </w:p>
    <w:tbl>
      <w:tblPr>
        <w:tblW w:w="842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3"/>
        <w:gridCol w:w="1768"/>
        <w:gridCol w:w="2251"/>
        <w:gridCol w:w="3417"/>
      </w:tblGrid>
      <w:tr w14:paraId="142CC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00F2A4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评估维度</w:t>
            </w:r>
          </w:p>
        </w:tc>
        <w:tc>
          <w:tcPr>
            <w:tcW w:w="1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8CD09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f.lux/系统夜间模式</w:t>
            </w:r>
          </w:p>
        </w:tc>
        <w:tc>
          <w:tcPr>
            <w:tcW w:w="22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328EFA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1" w:after="0" w:afterAutospacing="1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Stretchly (传统定时软件)</w:t>
            </w:r>
          </w:p>
        </w:tc>
        <w:tc>
          <w:tcPr>
            <w:tcW w:w="337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313F66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本作品：护眼精灵 (Eye Guardian)</w:t>
            </w:r>
          </w:p>
        </w:tc>
      </w:tr>
      <w:tr w14:paraId="61FBA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192DEC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干预维度</w:t>
            </w:r>
          </w:p>
        </w:tc>
        <w:tc>
          <w:tcPr>
            <w:tcW w:w="17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5B1774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仅屏幕色温调节</w:t>
            </w:r>
          </w:p>
        </w:tc>
        <w:tc>
          <w:tcPr>
            <w:tcW w:w="22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89C3D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1" w:after="0" w:afterAutospacing="1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强制全屏弹窗倒计时</w:t>
            </w:r>
          </w:p>
        </w:tc>
        <w:tc>
          <w:tcPr>
            <w:tcW w:w="3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AFE5B2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色温调节+机器视觉(姿势/眨眼)+微休息引导</w:t>
            </w:r>
          </w:p>
        </w:tc>
      </w:tr>
      <w:tr w14:paraId="55647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B6C635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打扰程度</w:t>
            </w:r>
          </w:p>
        </w:tc>
        <w:tc>
          <w:tcPr>
            <w:tcW w:w="17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EA965A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无打扰</w:t>
            </w:r>
          </w:p>
        </w:tc>
        <w:tc>
          <w:tcPr>
            <w:tcW w:w="22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17253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1" w:after="0" w:afterAutospacing="1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强打扰，易引起反感</w:t>
            </w:r>
          </w:p>
        </w:tc>
        <w:tc>
          <w:tcPr>
            <w:tcW w:w="3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327BC2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结合APM的心流感知，全屏/会议时智能降级为呼吸灯</w:t>
            </w:r>
          </w:p>
        </w:tc>
      </w:tr>
      <w:tr w14:paraId="49F6F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94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864853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用户激励</w:t>
            </w:r>
          </w:p>
        </w:tc>
        <w:tc>
          <w:tcPr>
            <w:tcW w:w="17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1612C1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无</w:t>
            </w:r>
          </w:p>
        </w:tc>
        <w:tc>
          <w:tcPr>
            <w:tcW w:w="22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2EB20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tabs>
                <w:tab w:val="left" w:pos="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1" w:after="0" w:afterAutospacing="1"/>
              <w:jc w:val="center"/>
              <w:textAlignment w:val="auto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无</w:t>
            </w:r>
          </w:p>
        </w:tc>
        <w:tc>
          <w:tcPr>
            <w:tcW w:w="33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EBDE6A">
            <w:pPr>
              <w:widowControl w:val="0"/>
              <w:numPr>
                <w:numId w:val="0"/>
              </w:numPr>
              <w:snapToGrid w:val="0"/>
              <w:spacing w:before="0" w:beforeAutospacing="1" w:after="0" w:afterAutospacing="1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auto"/>
                <w:kern w:val="2"/>
                <w:sz w:val="24"/>
                <w:szCs w:val="22"/>
                <w:u w:val="none"/>
                <w:lang w:val="en-US" w:eastAsia="zh-CN" w:bidi="ar-SA"/>
              </w:rPr>
              <w:t>游戏化虚拟生命体陪伴，依据健康评分发放“免扰盾”</w:t>
            </w:r>
          </w:p>
        </w:tc>
      </w:tr>
    </w:tbl>
    <w:p w14:paraId="3CBBB90A">
      <w:pPr>
        <w:widowControl w:val="0"/>
        <w:numPr>
          <w:numId w:val="0"/>
        </w:numPr>
        <w:spacing w:before="0" w:beforeAutospacing="1" w:after="0" w:afterAutospacing="1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</w:p>
    <w:p w14:paraId="6A10FA88">
      <w:pPr>
        <w:pStyle w:val="2"/>
      </w:pPr>
      <w:r>
        <w:rPr>
          <w:rFonts w:hint="eastAsia"/>
        </w:rPr>
        <w:t>概要设计</w:t>
      </w:r>
      <w:bookmarkEnd w:id="1"/>
    </w:p>
    <w:p w14:paraId="6C8B18C3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  <w:bookmarkStart w:id="2" w:name="_Toc100040662"/>
      <w:r>
        <w:rPr>
          <w:rFonts w:hint="eastAsia"/>
          <w:lang w:val="en-US" w:eastAsia="zh-CN"/>
        </w:rPr>
        <w:t>2.1系统架构</w:t>
      </w:r>
    </w:p>
    <w:p w14:paraId="7E84177F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为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保障系统的极低资源占用与用户隐私安全，本作品采用纯本地 C/S 客户端架构，技术栈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选型为基于 Rust 的桌面框架（如 Tauri）结合前端 Vue/React，摒弃了臃肿的 Electron。系统自下而上分为四层：</w:t>
      </w:r>
    </w:p>
    <w:p w14:paraId="56438AD5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操作系统层 (OS API)：负责底层硬件交互，包括调用摄像头节点、获取屏幕句柄、监听全局键鼠事件（Global Input Hook）以及系统级色彩配置接口（ICC Profile / Gamma Ramp）。</w:t>
      </w:r>
    </w:p>
    <w:p w14:paraId="1127556D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核心引擎层 (Core Logic - Rust)：包含机器视觉推理引擎（处理视频流帧）、心流统计算法（APM计算模型）、定时调度器（20-20-20法则）以及本地 SQLite 数据库操作。</w:t>
      </w:r>
    </w:p>
    <w:p w14:paraId="0AEA737E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业务逻辑层 (Services)：健康评分状态机计算引擎、应用白名单策略管理器、色温时间轴映射控制器。</w:t>
      </w:r>
    </w:p>
    <w:p w14:paraId="0611B78C">
      <w:pPr>
        <w:spacing w:after="120" w:line="360" w:lineRule="auto"/>
        <w:ind w:firstLine="480" w:firstLineChars="20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表现交互层 (UI/UX)：承载“星星生命体”的 Canvas/WebGL 动画渲染、无边框透明视窗、系统托盘菜单以及数据可视化图表。</w:t>
      </w:r>
    </w:p>
    <w:p w14:paraId="350B6C92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2.2模块划分</w:t>
      </w:r>
    </w:p>
    <w:p w14:paraId="4E4A69B1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虚拟生命体模块：基于用户的实时健康状态数据，如心率、压力指数或系统运行状况，自动触发预设的 11 种动态动画及粒子特效，以直观反映状态变化并提升交互体验。</w:t>
      </w:r>
    </w:p>
    <w:p w14:paraId="163332D4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状态监测模块：通过摄像头捕捉面部关键点，实时计算视距与眨眼频率（EAR），用于评估疲劳或专注度；同时监听键盘、鼠标等输入设备的活跃度，综合分析用户注意力水平。</w:t>
      </w:r>
    </w:p>
    <w:p w14:paraId="72B52D2C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光线与色温模块：依据一天中的 7 个固定时段（如清晨、正午、黄昏），结合对应的色温映射表，通过 30 秒缓动过渡算法平滑调节屏幕色温与亮度，以适配环境光并保护视力。</w:t>
      </w:r>
    </w:p>
    <w:p w14:paraId="47D317A4">
      <w:pPr>
        <w:pStyle w:val="2"/>
      </w:pPr>
      <w:r>
        <w:rPr>
          <w:rFonts w:hint="eastAsia"/>
        </w:rPr>
        <w:t>详细设计</w:t>
      </w:r>
      <w:bookmarkEnd w:id="2"/>
    </w:p>
    <w:p w14:paraId="6FDA4BE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1135" cy="2966720"/>
            <wp:effectExtent l="0" t="0" r="5715" b="5080"/>
            <wp:docPr id="1" name="图片 1" descr="77c1aa6b9aef2a40751985ca37f01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7c1aa6b9aef2a40751985ca37f018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135A7DF1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3.1 核心算法与技术难点阐述</w:t>
      </w:r>
    </w:p>
    <w:p w14:paraId="006CE799">
      <w:pPr>
        <w:widowControl w:val="0"/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基于 EAR 的端侧防干眼检测算法： 系统集成轻量级端侧人脸网格模型（如 MediaPipe Face Mesh）。通过定位眼部的 6 个特征点，实时计算眼部纵横比（Eye Aspect Ratio, EAR）。公式定义为：EAR = (||P2 - P6|| + ||P3 - P5||) / (2 * ||P1 - P4||)。当 EAR 连续多帧低于动态阈值（标定用户的闭眼状态），系统即判定为一次有效眨眼。通过滑动窗口统计每分钟眨眼频率，若低于健康基线，则驱动虚拟精灵触发“眨眼引导”动画。技术亮点：纯内存推断，RGB 矩阵用完即毁，零隐私泄漏。</w:t>
      </w:r>
    </w:p>
    <w:p w14:paraId="64B9EA41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基于 APM 的心流（Flow）感知防中断算法： 为了做到“懂用户”，系统在底层注册轻量级键鼠钩子。利用滑动时间窗口（如过去 5 分钟）计算用户的操作动作频率（APM, Actions Per Minute）。结合当前前台应用进程信息（是否为全屏、是否在白名单如 Zoom/PPT 中），动态调整打断权重。高权重状态下，原定的全屏锁屏将智能降级为屏幕边缘的柔和呼吸灯光效。</w:t>
      </w:r>
    </w:p>
    <w:p w14:paraId="79207F8A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3.2 数据库设计 (SQLite 本地持久化)</w:t>
      </w:r>
    </w:p>
    <w:p w14:paraId="1895E892">
      <w:pPr>
        <w:widowControl w:val="0"/>
        <w:spacing w:after="120" w:line="360" w:lineRule="auto"/>
        <w:ind w:left="960" w:leftChars="0" w:firstLine="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为了支撑多维度健康报表与虚拟资产，核心表遵循第三范式设计：</w:t>
      </w:r>
    </w:p>
    <w:p w14:paraId="2AEDA200">
      <w:pPr>
        <w:widowControl w:val="0"/>
        <w:numPr>
          <w:ilvl w:val="0"/>
          <w:numId w:val="4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daily_health_summary (每日综合健康表)</w:t>
      </w:r>
    </w:p>
    <w:p w14:paraId="2514ECDC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date (DATE, PK): 记录日期</w:t>
      </w:r>
    </w:p>
    <w:p w14:paraId="583332EA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compliance_score (INT): 休息依从性得分 (0 - 100)</w:t>
      </w:r>
    </w:p>
    <w:p w14:paraId="19A0C666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posture_violation_count (INT): 视距违规预警次数</w:t>
      </w:r>
    </w:p>
    <w:p w14:paraId="4918AD30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blink_rate_avg (FLOAT): 日均眨眼频率 (次/分钟)</w:t>
      </w:r>
    </w:p>
    <w:p w14:paraId="0F48282B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total_active_minutes (INT): 有效屏幕使用时长</w:t>
      </w:r>
    </w:p>
    <w:p w14:paraId="6BF9017E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shield_awarded (BOOLEAN): 当日是否解锁免扰盾</w:t>
      </w:r>
    </w:p>
    <w:p w14:paraId="2922C00F">
      <w:pPr>
        <w:widowControl w:val="0"/>
        <w:numPr>
          <w:ilvl w:val="0"/>
          <w:numId w:val="4"/>
        </w:numPr>
        <w:spacing w:after="120" w:line="360" w:lineRule="auto"/>
        <w:ind w:left="96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flow_interruption_logs (干预行为审计表)</w:t>
      </w:r>
    </w:p>
    <w:p w14:paraId="6DA128E8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id (UUID, PK)</w:t>
      </w:r>
    </w:p>
    <w:p w14:paraId="3FEDC01F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timestamp (DATETIME): 触发时间</w:t>
      </w:r>
    </w:p>
    <w:p w14:paraId="43A63E8B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trigger_reason (VARCHAR): 触发原因 (如 20 - 20 - 20 法则 / 久未眨眼)</w:t>
      </w:r>
    </w:p>
    <w:p w14:paraId="1DD7CE51">
      <w:pPr>
        <w:widowControl w:val="0"/>
        <w:numPr>
          <w:ilvl w:val="1"/>
          <w:numId w:val="4"/>
        </w:numPr>
        <w:spacing w:after="120" w:line="360" w:lineRule="auto"/>
        <w:ind w:left="1440" w:leftChars="0" w:hanging="480" w:firstLineChars="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actual_action (VARCHAR): 实际执行动作 (强弹窗 / 降级提醒 / 被免扰盾抵消)</w:t>
      </w:r>
    </w:p>
    <w:p w14:paraId="56A26EC3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3.3 界面与交互设计 (UI/UX)</w:t>
      </w:r>
    </w:p>
    <w:p w14:paraId="058EEEA2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胶囊悬浮态：日常工作时，软件以极致简约的“液态毛玻璃胶囊”形态悬浮于屏幕边缘，内部渲染 11 种动态动作（如思考、打字同频跳跃）与 5 种粒子特效，色彩采用低饱和度的莫兰迪色系，降低视觉疲劳。</w:t>
      </w:r>
    </w:p>
    <w:p w14:paraId="4AE48D64">
      <w:pPr>
        <w:spacing w:after="120" w:line="360" w:lineRule="auto"/>
        <w:ind w:firstLine="480" w:firstLineChars="200"/>
        <w:jc w:val="left"/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en-US" w:eastAsia="zh-CN"/>
        </w:rPr>
        <w:t>沉浸式微休息引导：触发 20 - 20 - 20 休息时，屏幕背景平滑暗化，中心出现带有自然呼吸节奏的引导光环，辅以舒缓白噪音，引导用户视线远眺。</w:t>
      </w:r>
    </w:p>
    <w:p w14:paraId="12390D11">
      <w:pPr>
        <w:pStyle w:val="2"/>
      </w:pPr>
      <w:bookmarkStart w:id="3" w:name="_Toc100040663"/>
      <w:r>
        <w:rPr>
          <w:rFonts w:hint="eastAsia"/>
        </w:rPr>
        <w:t>测试报告</w:t>
      </w:r>
      <w:bookmarkEnd w:id="3"/>
    </w:p>
    <w:p w14:paraId="74D81E15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4.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1 性能测试</w:t>
      </w:r>
    </w:p>
    <w:p w14:paraId="3CF0EFEF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资源占用：Windows 11 环境持续运行压力测试，后台常驻内存占用稳定在 45MB-60MB（仅为同类 Electron 方案的 20%）。</w:t>
      </w:r>
    </w:p>
    <w:p w14:paraId="72F6982D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推理延迟：CV 线程限制在单核执行，CPU 占用率 &lt;3%，推理延迟平均 28ms，无卡顿感。</w:t>
      </w:r>
    </w:p>
    <w:p w14:paraId="3BCAA246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4.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2 兼容性与安全性验证</w:t>
      </w:r>
    </w:p>
    <w:p w14:paraId="1E08436C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跨端兼容：色温调节 API 在 Windows 多屏扩展、macOS（需辅助功能权限）及 Linux（适配 X11/Wayland 协议）下均测试通过。</w:t>
      </w:r>
    </w:p>
    <w:p w14:paraId="375D2BCE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安全性：断网抓包测试确认 0 字节外部网络请求，面部识别推断仅在内存中进行，帧数据处理完毕即刻释放，通过本地化数据安全验证。</w:t>
      </w:r>
    </w:p>
    <w:p w14:paraId="22F48A92">
      <w:pPr>
        <w:pStyle w:val="2"/>
      </w:pPr>
      <w:bookmarkStart w:id="4" w:name="_Toc100040664"/>
      <w:r>
        <w:rPr>
          <w:rFonts w:hint="eastAsia"/>
        </w:rPr>
        <w:t>安装及使用</w:t>
      </w:r>
      <w:bookmarkEnd w:id="4"/>
    </w:p>
    <w:p w14:paraId="67B7F673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 xml:space="preserve">5.1 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 xml:space="preserve">安装环境 </w:t>
      </w:r>
    </w:p>
    <w:p w14:paraId="5CEC4C94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支持 Windows 10/11、macOS 12+、Ubuntu 22.04+。</w:t>
      </w:r>
    </w:p>
    <w:p w14:paraId="05C5A878">
      <w:pPr>
        <w:keepNext/>
        <w:keepLines/>
        <w:widowControl w:val="0"/>
        <w:numPr>
          <w:numId w:val="0"/>
        </w:numPr>
        <w:bidi w:val="0"/>
        <w:spacing w:before="260" w:beforeLines="0" w:beforeAutospacing="0" w:after="260" w:afterLines="0" w:afterAutospacing="0" w:line="413" w:lineRule="auto"/>
        <w:jc w:val="both"/>
        <w:outlineLvl w:val="1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>5.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2 安装与典型使用流程</w:t>
      </w:r>
    </w:p>
    <w:p w14:paraId="36AA117C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部署：下载对应架构包（.msi / .dmg / .deb）执行本地安装。</w:t>
      </w:r>
    </w:p>
    <w:p w14:paraId="02102571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初始化授权：首次启动需跟随向导授予“摄像头访问”与“键盘输入监听（macOS 辅助功能）”权限。</w:t>
      </w:r>
    </w:p>
    <w:p w14:paraId="499E25CE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基线标定：用户在设置页保持标准坐姿 3 秒，系统采集基准物理距离。</w:t>
      </w:r>
    </w:p>
    <w:p w14:paraId="79D4CC3F">
      <w:pPr>
        <w:spacing w:after="120" w:line="360" w:lineRule="auto"/>
        <w:ind w:firstLine="480" w:firstLineChars="200"/>
        <w:jc w:val="left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  <w:lang w:val="zh-CN" w:eastAsia="zh-CN"/>
        </w:rPr>
        <w:t>常驻运行：软件最小化至系统托盘，虚拟精灵在屏幕边缘驻留。系统后台静默计算 APM 与视距，仅在非心流高频期且触发疲劳阈值时，柔性介入引导休息。</w:t>
      </w:r>
    </w:p>
    <w:p w14:paraId="4982347F">
      <w:pPr>
        <w:rPr>
          <w:lang w:val="zh-CN"/>
        </w:rPr>
      </w:pPr>
    </w:p>
    <w:p w14:paraId="699B0C6C">
      <w:pPr>
        <w:pStyle w:val="2"/>
      </w:pPr>
      <w:bookmarkStart w:id="5" w:name="_Toc100040665"/>
      <w:r>
        <w:rPr>
          <w:rFonts w:hint="eastAsia"/>
        </w:rPr>
        <w:t>项目总结</w:t>
      </w:r>
      <w:bookmarkEnd w:id="5"/>
    </w:p>
    <w:p w14:paraId="08E95FFD">
      <w:pPr>
        <w:widowControl w:val="0"/>
        <w:spacing w:after="12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“护眼精灵（Eye Guardian）”的开发是一次从“技术探索”到“产品落地”的完整实践。在长达数月的研发周期中，团队不仅在计算机底层技术与人工智能应用上取得了突破，更在团队协作与产品思维上获得了宝贵的成长。</w:t>
      </w:r>
    </w:p>
    <w:p w14:paraId="3A00B2AF">
      <w:pPr>
        <w:widowControl w:val="0"/>
        <w:spacing w:after="120" w:line="360" w:lineRule="auto"/>
        <w:ind w:left="0" w:leftChars="0" w:firstLine="0" w:firstLineChars="0"/>
        <w:jc w:val="both"/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 xml:space="preserve">6.1 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克服的困难与技术突破</w:t>
      </w:r>
    </w:p>
    <w:p w14:paraId="17B94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团队从Electron重构为Rust + Tauri，克服跨平台硬件API差异化适配挑战，自主封装跨平台调用库。为保护隐私，实现端侧边缘计算，本地低CPU占用实时推断人脸特征。</w:t>
      </w:r>
    </w:p>
    <w:p w14:paraId="4277E2B1">
      <w:pPr>
        <w:widowControl w:val="0"/>
        <w:spacing w:after="120" w:line="360" w:lineRule="auto"/>
        <w:ind w:left="0" w:leftChars="0" w:firstLine="0" w:firstLineChars="0"/>
        <w:jc w:val="both"/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 xml:space="preserve">6.2 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水平提升与开发感悟</w:t>
      </w:r>
    </w:p>
    <w:p w14:paraId="4D23B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团队从代码编写者蜕变为产品设计者，认识到技术需服务人性。创新提出基于APM的“心流感知”与游戏化干预，强调对行为心理学的洞察。</w:t>
      </w:r>
    </w:p>
    <w:p w14:paraId="37925101">
      <w:pPr>
        <w:widowControl w:val="0"/>
        <w:spacing w:after="120" w:line="360" w:lineRule="auto"/>
        <w:ind w:left="-960" w:leftChars="0" w:firstLine="1054" w:firstLineChars="328"/>
        <w:jc w:val="both"/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</w:pPr>
      <w:r>
        <w:rPr>
          <w:rFonts w:hint="eastAsia" w:ascii="Arial" w:hAnsi="Arial" w:eastAsia="黑体" w:cstheme="minorBidi"/>
          <w:b/>
          <w:kern w:val="2"/>
          <w:sz w:val="32"/>
          <w:szCs w:val="22"/>
          <w:lang w:val="en-US" w:eastAsia="zh-CN" w:bidi="ar-SA"/>
        </w:rPr>
        <w:t xml:space="preserve">6.3 </w:t>
      </w:r>
      <w:r>
        <w:rPr>
          <w:rFonts w:hint="eastAsia" w:ascii="Arial" w:hAnsi="Arial" w:eastAsia="黑体" w:cstheme="minorBidi"/>
          <w:b/>
          <w:kern w:val="2"/>
          <w:sz w:val="32"/>
          <w:szCs w:val="22"/>
          <w:lang w:val="zh-CN" w:eastAsia="zh-CN" w:bidi="ar-SA"/>
        </w:rPr>
        <w:t>升级演进与商业推广</w:t>
      </w:r>
    </w:p>
    <w:p w14:paraId="44FC8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jc w:val="both"/>
        <w:textAlignment w:val="auto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v2.0将引入环境光传感器IoT协同与小参数量大模型，实现自然语言对话式调节。商业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上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，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C端免费增值，提供订阅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制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服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务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；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2"/>
          <w:u w:val="none"/>
          <w:lang w:val="zh-CN" w:eastAsia="zh-CN" w:bidi="ar-SA"/>
        </w:rPr>
        <w:t>B端/G端推出“组织健康看板”，具备社会价值与商业潜力。</w:t>
      </w:r>
    </w:p>
    <w:p w14:paraId="39549035">
      <w:pPr>
        <w:pStyle w:val="2"/>
        <w:numPr>
          <w:ilvl w:val="0"/>
          <w:numId w:val="0"/>
        </w:numPr>
      </w:pPr>
      <w:bookmarkStart w:id="6" w:name="_Toc100040666"/>
      <w:r>
        <w:rPr>
          <w:rFonts w:hint="eastAsia"/>
        </w:rPr>
        <w:t>参考文献</w:t>
      </w:r>
      <w:bookmarkEnd w:id="6"/>
    </w:p>
    <w:p w14:paraId="2188A776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【请按照标准参考文件格式填写】</w:t>
      </w:r>
    </w:p>
    <w:p w14:paraId="355C4746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8"/>
      <w:jc w:val="right"/>
    </w:pPr>
  </w:p>
  <w:p w14:paraId="0BEE5740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9C2CE"/>
    <w:multiLevelType w:val="multilevel"/>
    <w:tmpl w:val="8699C2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DED7D90"/>
    <w:rsid w:val="0E9071C2"/>
    <w:rsid w:val="0F8E5109"/>
    <w:rsid w:val="128B1CD8"/>
    <w:rsid w:val="19834C82"/>
    <w:rsid w:val="1F572E39"/>
    <w:rsid w:val="20103D0C"/>
    <w:rsid w:val="22CB3A79"/>
    <w:rsid w:val="3721576A"/>
    <w:rsid w:val="40B51316"/>
    <w:rsid w:val="443D3AFC"/>
    <w:rsid w:val="44B87626"/>
    <w:rsid w:val="495F62C2"/>
    <w:rsid w:val="4DE47767"/>
    <w:rsid w:val="4E256445"/>
    <w:rsid w:val="54C05405"/>
    <w:rsid w:val="5F19453C"/>
    <w:rsid w:val="65420682"/>
    <w:rsid w:val="6B240E96"/>
    <w:rsid w:val="6BC601FB"/>
    <w:rsid w:val="6D3722AC"/>
    <w:rsid w:val="73FE4D8B"/>
    <w:rsid w:val="764158CF"/>
    <w:rsid w:val="7648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6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20"/>
    <w:unhideWhenUsed/>
    <w:qFormat/>
    <w:uiPriority w:val="99"/>
    <w:pPr>
      <w:spacing w:after="120"/>
    </w:pPr>
  </w:style>
  <w:style w:type="paragraph" w:styleId="7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2">
    <w:name w:val="annotation subject"/>
    <w:basedOn w:val="5"/>
    <w:next w:val="5"/>
    <w:link w:val="27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000FF"/>
      <w:u w:val="single"/>
    </w:rPr>
  </w:style>
  <w:style w:type="character" w:styleId="18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styleId="19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20">
    <w:name w:val="正文文本 字符"/>
    <w:basedOn w:val="15"/>
    <w:link w:val="6"/>
    <w:qFormat/>
    <w:uiPriority w:val="99"/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23">
    <w:name w:val="页脚 字符"/>
    <w:basedOn w:val="15"/>
    <w:link w:val="8"/>
    <w:qFormat/>
    <w:uiPriority w:val="99"/>
    <w:rPr>
      <w:sz w:val="18"/>
      <w:szCs w:val="18"/>
    </w:rPr>
  </w:style>
  <w:style w:type="character" w:customStyle="1" w:styleId="24">
    <w:name w:val="标题 1 字符"/>
    <w:basedOn w:val="15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5">
    <w:name w:val="批注框文本 字符"/>
    <w:basedOn w:val="15"/>
    <w:link w:val="7"/>
    <w:semiHidden/>
    <w:qFormat/>
    <w:uiPriority w:val="99"/>
    <w:rPr>
      <w:sz w:val="18"/>
      <w:szCs w:val="18"/>
    </w:rPr>
  </w:style>
  <w:style w:type="character" w:customStyle="1" w:styleId="26">
    <w:name w:val="批注文字 字符"/>
    <w:basedOn w:val="15"/>
    <w:link w:val="5"/>
    <w:semiHidden/>
    <w:qFormat/>
    <w:uiPriority w:val="99"/>
  </w:style>
  <w:style w:type="character" w:customStyle="1" w:styleId="27">
    <w:name w:val="批注主题 字符"/>
    <w:basedOn w:val="26"/>
    <w:link w:val="12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803</Words>
  <Characters>835</Characters>
  <Lines>9</Lines>
  <Paragraphs>2</Paragraphs>
  <TotalTime>46</TotalTime>
  <ScaleCrop>false</ScaleCrop>
  <LinksUpToDate>false</LinksUpToDate>
  <CharactersWithSpaces>956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宋怡哲</cp:lastModifiedBy>
  <cp:lastPrinted>2020-04-27T09:16:00Z</cp:lastPrinted>
  <dcterms:modified xsi:type="dcterms:W3CDTF">2026-04-27T17:26:56Z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eyJoZGlkIjoiNTFkMmJmMDI1NWRlYWYzM2QxZjdmMGMzNzFlNjk4YWEiLCJ1c2VySWQiOiIxNzcwNjk3NDc4In0=</vt:lpwstr>
  </property>
</Properties>
</file>