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3864"/>
          <w:sz w:val="44"/>
        </w:rPr>
        <w:t>Braun Smart Home</w:t>
      </w:r>
    </w:p>
    <w:p>
      <w:pPr>
        <w:spacing w:before="0" w:after="160"/>
        <w:pBdr>
          <w:bottom w:val="single" w:sz="12" w:space="1" w:color="C9A84C"/>
        </w:pBdr>
      </w:pPr>
      <w:r>
        <w:rPr>
          <w:rFonts w:ascii="Arial" w:hAnsi="Arial"/>
          <w:color w:val="666666"/>
          <w:sz w:val="24"/>
        </w:rPr>
        <w:t>Discussion Questions &amp; Response Template</w:t>
      </w:r>
    </w:p>
    <w:p>
      <w:pPr>
        <w:spacing w:before="200" w:after="80"/>
        <w:shd w:val="clear" w:color="auto" w:fill="1F3864"/>
        <w:ind w:left="180" w:right="180"/>
      </w:pPr>
      <w:r>
        <w:rPr>
          <w:rFonts w:ascii="Arial" w:hAnsi="Arial"/>
          <w:b/>
          <w:color w:val="FFFFFF"/>
          <w:sz w:val="28"/>
        </w:rPr>
        <w:t xml:space="preserve">  1. Distribution Model (must include B2C)</w:t>
      </w:r>
    </w:p>
    <w:p>
      <w:pPr>
        <w:spacing w:before="120" w:after="40"/>
        <w:ind w:left="360"/>
      </w:pPr>
      <w:r>
        <w:rPr>
          <w:rFonts w:ascii="Arial" w:hAnsi="Arial"/>
          <w:b/>
          <w:color w:val="1F3864"/>
          <w:sz w:val="22"/>
        </w:rPr>
        <w:t>▶  Which retailers / integrators are envisioned?</w:t>
      </w:r>
    </w:p>
    <w:p>
      <w:pPr>
        <w:spacing w:before="40" w:after="0"/>
        <w:ind w:left="720" w:hanging="200"/>
      </w:pPr>
      <w:r>
        <w:rPr>
          <w:color w:val="555555"/>
          <w:sz w:val="20"/>
        </w:rPr>
        <w:t xml:space="preserve">•  </w:t>
      </w:r>
      <w:r>
        <w:rPr>
          <w:rFonts w:ascii="Arial" w:hAnsi="Arial"/>
          <w:b/>
          <w:color w:val="333333"/>
          <w:sz w:val="20"/>
        </w:rPr>
        <w:t xml:space="preserve">Custom Integrators: </w:t>
      </w:r>
      <w:r>
        <w:rPr>
          <w:rFonts w:ascii="Arial" w:hAnsi="Arial"/>
          <w:color w:val="333333"/>
          <w:sz w:val="20"/>
        </w:rPr>
        <w:t>See list attached</w:t>
      </w:r>
    </w:p>
    <w:p>
      <w:pPr>
        <w:spacing w:before="40" w:after="0"/>
        <w:ind w:left="720" w:hanging="200"/>
      </w:pPr>
      <w:r>
        <w:rPr>
          <w:color w:val="555555"/>
          <w:sz w:val="20"/>
        </w:rPr>
        <w:t xml:space="preserve">•  </w:t>
      </w:r>
      <w:r>
        <w:rPr>
          <w:rFonts w:ascii="Arial" w:hAnsi="Arial"/>
          <w:b/>
          <w:color w:val="333333"/>
          <w:sz w:val="20"/>
        </w:rPr>
        <w:t xml:space="preserve">Retail Customers: </w:t>
      </w:r>
    </w:p>
    <w:p>
      <w:pPr>
        <w:shd w:val="clear" w:color="auto" w:fill="F5F5F5"/>
        <w:ind w:left="200" w:right="200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  <w:spacing w:before="100" w:after="0"/>
      </w:pPr>
      <w:r>
        <w:rPr>
          <w:rFonts w:ascii="Arial" w:hAnsi="Arial"/>
          <w:b/>
          <w:color w:val="555555"/>
          <w:sz w:val="20"/>
        </w:rPr>
        <w:t xml:space="preserve">Response: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0"/>
      </w:pPr>
      <w:r>
        <w:rPr>
          <w:sz w:val="20"/>
        </w:rPr>
        <w:t xml:space="preserve">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0"/>
      </w:pPr>
      <w:r>
        <w:rPr>
          <w:sz w:val="20"/>
        </w:rPr>
        <w:t xml:space="preserve">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160"/>
      </w:pPr>
      <w:r>
        <w:rPr>
          <w:sz w:val="20"/>
        </w:rPr>
        <w:t xml:space="preserve"> </w:t>
      </w:r>
    </w:p>
    <w:p>
      <w:pPr>
        <w:spacing w:before="120" w:after="40"/>
        <w:ind w:left="360"/>
      </w:pPr>
      <w:r>
        <w:rPr>
          <w:rFonts w:ascii="Arial" w:hAnsi="Arial"/>
          <w:b/>
          <w:color w:val="1F3864"/>
          <w:sz w:val="22"/>
        </w:rPr>
        <w:t>▶  Market sequencing: US first, then Europe?</w:t>
      </w:r>
    </w:p>
    <w:p>
      <w:pPr>
        <w:spacing w:before="40" w:after="0"/>
        <w:ind w:left="720"/>
      </w:pPr>
      <w:r>
        <w:rPr>
          <w:rFonts w:ascii="Arial" w:hAnsi="Arial"/>
          <w:i/>
          <w:color w:val="888888"/>
          <w:sz w:val="20"/>
        </w:rPr>
        <w:t>→ US &amp; China at the same time</w:t>
      </w:r>
    </w:p>
    <w:p>
      <w:pPr>
        <w:spacing w:before="40" w:after="0"/>
        <w:ind w:left="720"/>
      </w:pPr>
      <w:r>
        <w:rPr>
          <w:rFonts w:ascii="Arial" w:hAnsi="Arial"/>
          <w:i/>
          <w:color w:val="888888"/>
          <w:sz w:val="20"/>
        </w:rPr>
        <w:t>→ Then Europe</w:t>
      </w:r>
    </w:p>
    <w:p>
      <w:pPr>
        <w:shd w:val="clear" w:color="auto" w:fill="F5F5F5"/>
        <w:ind w:left="200" w:right="200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  <w:spacing w:before="100" w:after="0"/>
      </w:pPr>
      <w:r>
        <w:rPr>
          <w:rFonts w:ascii="Arial" w:hAnsi="Arial"/>
          <w:b/>
          <w:color w:val="555555"/>
          <w:sz w:val="20"/>
        </w:rPr>
        <w:t xml:space="preserve">Response: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0"/>
      </w:pPr>
      <w:r>
        <w:rPr>
          <w:sz w:val="20"/>
        </w:rPr>
        <w:t xml:space="preserve">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0"/>
      </w:pPr>
      <w:r>
        <w:rPr>
          <w:sz w:val="20"/>
        </w:rPr>
        <w:t xml:space="preserve">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160"/>
      </w:pPr>
      <w:r>
        <w:rPr>
          <w:sz w:val="20"/>
        </w:rPr>
        <w:t xml:space="preserve"> </w:t>
      </w:r>
    </w:p>
    <w:p>
      <w:pPr>
        <w:spacing w:before="200" w:after="80"/>
        <w:shd w:val="clear" w:color="auto" w:fill="1F3864"/>
        <w:ind w:left="180" w:right="180"/>
      </w:pPr>
      <w:r>
        <w:rPr>
          <w:rFonts w:ascii="Arial" w:hAnsi="Arial"/>
          <w:b/>
          <w:color w:val="FFFFFF"/>
          <w:sz w:val="28"/>
        </w:rPr>
        <w:t xml:space="preserve">  2. Pricing &amp; Value Proposition</w:t>
      </w:r>
    </w:p>
    <w:p>
      <w:pPr>
        <w:spacing w:before="120" w:after="40"/>
        <w:ind w:left="360"/>
      </w:pPr>
      <w:r>
        <w:rPr>
          <w:rFonts w:ascii="Arial" w:hAnsi="Arial"/>
          <w:b/>
          <w:color w:val="1F3864"/>
          <w:sz w:val="22"/>
        </w:rPr>
        <w:t>▶  Current pricing (2–5x Aqara benchmarks) is very high. What is the clear consumer POD justifying this premium vs. other smart home players?</w:t>
      </w:r>
    </w:p>
    <w:p>
      <w:pPr>
        <w:shd w:val="clear" w:color="auto" w:fill="F5F5F5"/>
        <w:ind w:left="200" w:right="200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  <w:spacing w:before="100" w:after="0"/>
      </w:pPr>
      <w:r>
        <w:rPr>
          <w:rFonts w:ascii="Arial" w:hAnsi="Arial"/>
          <w:b/>
          <w:color w:val="555555"/>
          <w:sz w:val="20"/>
        </w:rPr>
        <w:t xml:space="preserve">Response: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0"/>
      </w:pPr>
      <w:r>
        <w:rPr>
          <w:sz w:val="20"/>
        </w:rPr>
        <w:t xml:space="preserve">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0"/>
      </w:pPr>
      <w:r>
        <w:rPr>
          <w:sz w:val="20"/>
        </w:rPr>
        <w:t xml:space="preserve"> </w:t>
      </w:r>
    </w:p>
    <w:p>
      <w:pPr>
        <w:shd w:val="clear" w:color="auto" w:fill="F5F5F5"/>
        <w:ind w:left="200" w:right="200"/>
        <w:pBdr>
          <w:bottom w:val="single" w:sz="4" w:space="1" w:color="CCCCCC"/>
          <w:left w:val="single" w:sz="4" w:space="1" w:color="CCCCCC"/>
          <w:right w:val="single" w:sz="4" w:space="1" w:color="CCCCCC"/>
        </w:pBdr>
        <w:spacing w:before="0" w:after="160"/>
      </w:pPr>
      <w:r>
        <w:rPr>
          <w:sz w:val="20"/>
        </w:rPr>
        <w:t xml:space="preserve"> 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