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Community Board of Directors – Governance Charter</w:t>
      </w:r>
    </w:p>
    <w:p>
      <w:r>
        <w:t>This Charter establishes the structure, powers, and responsibilities of the Community Board of Directors. The Board exists to protect the project, guide sustainable growth, and represent the interests of members.</w:t>
      </w:r>
    </w:p>
    <w:p>
      <w:pPr>
        <w:pStyle w:val="Heading1"/>
      </w:pPr>
      <w:r>
        <w:t>1. Purpose</w:t>
      </w:r>
    </w:p>
    <w:p>
      <w:r>
        <w:t>- Oversee the referral and rewards program.</w:t>
        <w:br/>
        <w:t>- Ensure treasury security and sustainability.</w:t>
        <w:br/>
        <w:t>- Provide community representation and voice.</w:t>
        <w:br/>
        <w:t>- Guide long-term strategy, partnerships, and governance decisions.</w:t>
      </w:r>
    </w:p>
    <w:p>
      <w:pPr>
        <w:pStyle w:val="Heading1"/>
      </w:pPr>
      <w:r>
        <w:t>2. Board Composition</w:t>
      </w:r>
    </w:p>
    <w:p>
      <w:r>
        <w:t>The Board shall consist of 3–5 members holding the following roles:</w:t>
        <w:br/>
        <w:t xml:space="preserve">   • Program Admin: Oversees referral/rewards program with authority to terminate immediately.</w:t>
        <w:br/>
        <w:t xml:space="preserve">   • Treasury Guardian: Manages liquidity pool and treasury outflows.</w:t>
        <w:br/>
        <w:t xml:space="preserve">   • Community Voice: Represents the holder community, rotates every 6–12 months.</w:t>
        <w:br/>
        <w:t xml:space="preserve">   • Strategic Advisor / Founder (Optional): Provides vision and external partnerships.</w:t>
        <w:br/>
      </w:r>
    </w:p>
    <w:p>
      <w:pPr>
        <w:pStyle w:val="Heading1"/>
      </w:pPr>
      <w:r>
        <w:t>3. Powers &amp; Authorities</w:t>
      </w:r>
    </w:p>
    <w:p>
      <w:r>
        <w:t>- Program Admin:</w:t>
        <w:br/>
        <w:t xml:space="preserve">   • Full oversight of referral program.</w:t>
        <w:br/>
        <w:t xml:space="preserve">   • Emergency kill-switch powers with or without cause.</w:t>
        <w:br/>
        <w:br/>
        <w:t>- Treasury Guardian:</w:t>
        <w:br/>
        <w:t xml:space="preserve">   • Must sign off on major liquidity or treasury disbursements.</w:t>
        <w:br/>
        <w:br/>
        <w:t>- Community Voice:</w:t>
        <w:br/>
        <w:t xml:space="preserve">   • Brings forward proposals and feedback from members.</w:t>
        <w:br/>
        <w:br/>
        <w:t>- Strategic Advisor / Founder:</w:t>
        <w:br/>
        <w:t xml:space="preserve">   • Guides long-term strategy, listings, and partnerships.</w:t>
      </w:r>
    </w:p>
    <w:p>
      <w:pPr>
        <w:pStyle w:val="Heading1"/>
      </w:pPr>
      <w:r>
        <w:t>4. Incentives</w:t>
      </w:r>
    </w:p>
    <w:p>
      <w:r>
        <w:t>- Program Admin: Receives a percentage of membership fees as compensation.</w:t>
        <w:br/>
        <w:t>- Treasury Guardian: Receives a monthly token stipend and community recognition.</w:t>
        <w:br/>
        <w:t>- Community Voice: Awarded rotating NFT badge, bonus tokens, and recognition.</w:t>
        <w:br/>
        <w:t>- Advisors: Allocation of tokens and reputational credit.</w:t>
      </w:r>
    </w:p>
    <w:p>
      <w:pPr>
        <w:pStyle w:val="Heading1"/>
      </w:pPr>
      <w:r>
        <w:t>5. Terms &amp; Governance</w:t>
      </w:r>
    </w:p>
    <w:p>
      <w:r>
        <w:t>- Board members serve terms defined at appointment (6–12 months for Community Voice; renewable for others).</w:t>
        <w:br/>
        <w:t>- Board decisions on treasury, tokenomics changes, or major strategic shifts require majority approval.</w:t>
        <w:br/>
        <w:t>- Emergency powers (Program Admin) override majority voting for immediate program suspension.</w:t>
        <w:br/>
        <w:t>- Vacant seats are to be filled by board vote or community election (in the case of Community Voice).</w:t>
      </w:r>
    </w:p>
    <w:p>
      <w:pPr>
        <w:pStyle w:val="Heading1"/>
      </w:pPr>
      <w:r>
        <w:t>6. Transparency &amp; Accountability</w:t>
      </w:r>
    </w:p>
    <w:p>
      <w:r>
        <w:t>- The Board commits to publishing regular updates to the community.</w:t>
        <w:br/>
        <w:t>- Actions taken under emergency authority must be disclosed publicly within 72 hours.</w:t>
        <w:br/>
        <w:t>- All treasury movements and board votes will be documented and accessible to members.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