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Community Finance Facility Blueprint</w:t>
      </w:r>
    </w:p>
    <w:p>
      <w:r>
        <w:t>This blueprint outlines a hybrid community financial cooperative built on meme-driven engagement. It integrates mandatory member capital contributions, low-risk financial investments, token-based incentives, and governance oversight to create a sustainable ecosystem that balances hype with stability.</w:t>
      </w:r>
    </w:p>
    <w:p>
      <w:pPr>
        <w:pStyle w:val="Heading1"/>
      </w:pPr>
      <w:r>
        <w:t>1. Membership Structure</w:t>
      </w:r>
    </w:p>
    <w:p>
      <w:r>
        <w:t>- All members are required to contribute a minimum financial stake (e.g., $500–$1,000).</w:t>
        <w:br/>
        <w:t>- Contribution can be monetary or role-based (limited cases), but monetary membership anchors the treasury.</w:t>
        <w:br/>
        <w:t>- Capital is locked for a defined minimum hold period (e.g., 12 months) to prevent liquidity runs.</w:t>
        <w:br/>
        <w:t>- Early withdrawals incur penalties, redistributed to the community treasury.</w:t>
      </w:r>
    </w:p>
    <w:p>
      <w:pPr>
        <w:pStyle w:val="Heading1"/>
      </w:pPr>
      <w:r>
        <w:t>2. Capital Allocation</w:t>
      </w:r>
    </w:p>
    <w:p>
      <w:r>
        <w:t>- **80–90% Safe Reserve:** Invested in low-risk securities (U.S. Treasuries, T-bills, government bonds).</w:t>
        <w:br/>
        <w:t>- **10–20% Community Growth Pool:** Allocated to:</w:t>
        <w:br/>
        <w:t xml:space="preserve">   • Marketing, events, and promotion.</w:t>
        <w:br/>
        <w:t xml:space="preserve">   • Liquidity pool reinforcement.</w:t>
        <w:br/>
        <w:t xml:space="preserve">   • Development of a community facility or in-house services.</w:t>
        <w:br/>
        <w:t>- Allocation proportions can be adjusted by board approval as membership and treasury grow.</w:t>
      </w:r>
    </w:p>
    <w:p>
      <w:pPr>
        <w:pStyle w:val="Heading1"/>
      </w:pPr>
      <w:r>
        <w:t>3. Returns &amp; Distribution</w:t>
      </w:r>
    </w:p>
    <w:p>
      <w:r>
        <w:t>- Yields from safe reserves are distributed periodically (quarterly/annually).</w:t>
        <w:br/>
        <w:t>- Example split:</w:t>
        <w:br/>
        <w:t xml:space="preserve">   • 70% returned to members as dividends.</w:t>
        <w:br/>
        <w:t xml:space="preserve">   • 30% reinvested into community treasury.</w:t>
        <w:br/>
        <w:t>- Returns incentivize long-term retention and discourage short-term speculation.</w:t>
      </w:r>
    </w:p>
    <w:p>
      <w:pPr>
        <w:pStyle w:val="Heading1"/>
      </w:pPr>
      <w:r>
        <w:t>4. Token Utility Layer</w:t>
      </w:r>
    </w:p>
    <w:p>
      <w:r>
        <w:t>- Token functions as a membership key, unlocking access to benefits and governance rights.</w:t>
        <w:br/>
        <w:t>- Incentive programs (referrals, liquidity bonuses, challenges) operate in parallel with financial returns.</w:t>
        <w:br/>
        <w:t>- Tokenomics are community-governed to avoid dilution and ensure sustainability.</w:t>
        <w:br/>
        <w:t>- Optional: Staking model tied to long-term membership rewards.</w:t>
      </w:r>
    </w:p>
    <w:p>
      <w:pPr>
        <w:pStyle w:val="Heading1"/>
      </w:pPr>
      <w:r>
        <w:t>5. Governance Framework</w:t>
      </w:r>
    </w:p>
    <w:p>
      <w:r>
        <w:t>- Governance executed by a 3–5 member Board of Directors:</w:t>
        <w:br/>
        <w:t xml:space="preserve">   • Program Admin – Oversees referral/reward systems with kill-switch authority.</w:t>
        <w:br/>
        <w:t xml:space="preserve">   • Treasury Guardian – Ensures safe asset management and approves treasury movements.</w:t>
        <w:br/>
        <w:t xml:space="preserve">   • Community Voice – Represents membership, rotating seat every 6–12 months.</w:t>
        <w:br/>
        <w:t xml:space="preserve">   • Advisors/Founders – Guide partnerships and strategic direction.</w:t>
        <w:br/>
        <w:t>- Major capital allocation shifts require board approval.</w:t>
        <w:br/>
        <w:t>- Transparency ensured through published reports and community updates.</w:t>
      </w:r>
    </w:p>
    <w:p>
      <w:pPr>
        <w:pStyle w:val="Heading1"/>
      </w:pPr>
      <w:r>
        <w:t>6. Risk Management &amp; Compliance</w:t>
      </w:r>
    </w:p>
    <w:p>
      <w:r>
        <w:t>- Safe reserve ensures the community treasury cannot collapse even during market downturns.</w:t>
        <w:br/>
        <w:t>- Small, controlled community growth fund provides innovation without risking stability.</w:t>
        <w:br/>
        <w:t>- Emergency kill switch (Program Admin) allows immediate suspension of reward programs in case of abuse.</w:t>
        <w:br/>
        <w:t>- Regulatory considerations: structure may require cooperative, credit union, or DAO LLC framework for compliance.</w:t>
      </w:r>
    </w:p>
    <w:p>
      <w:pPr>
        <w:pStyle w:val="Heading1"/>
      </w:pPr>
      <w:r>
        <w:t>7. Strategic Benefits</w:t>
      </w:r>
    </w:p>
    <w:p>
      <w:r>
        <w:t>- Combines meme-driven marketing with serious financial infrastructure.</w:t>
        <w:br/>
        <w:t>- Provides real-world value (yield + services) to members while preserving community culture.</w:t>
        <w:br/>
        <w:t>- Builds long-term sustainability through stable yields, member retention, and transparent governance.</w:t>
        <w:br/>
        <w:t>- Positions the community as both a cultural movement and a financial cooperative.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