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Program Governance &amp; Promotions – Key Decisions and Directives</w:t>
      </w:r>
    </w:p>
    <w:p>
      <w:r>
        <w:t>This document captures the key directives, insights, and decisions from the recent discussion on building the community referral and rewards system, governance framework, and sustainability model.</w:t>
      </w:r>
    </w:p>
    <w:p>
      <w:pPr>
        <w:pStyle w:val="Heading1"/>
      </w:pPr>
      <w:r>
        <w:t>1. Promotions &amp; Incentives</w:t>
      </w:r>
    </w:p>
    <w:p>
      <w:r>
        <w:t>- Free Token Drops for early supporters.</w:t>
        <w:br/>
        <w:t>- Referral Rewards (2,500 tokens per direct recruit after 30–90 days).</w:t>
        <w:br/>
        <w:t>- Liquidity Incentives (1,000 tokens per $50 contributed – scalable).</w:t>
        <w:br/>
        <w:t>- Community Giveaways &amp; Challenges.</w:t>
        <w:br/>
        <w:t>- Discord-Only Bonuses: Double rewards for limited time (2 weeks).</w:t>
        <w:br/>
        <w:t>- Recruit Promo Chain: Direct recruits = 2,500 tokens, Indirect recruits = 250 tokens each (indefinite chain).</w:t>
      </w:r>
    </w:p>
    <w:p>
      <w:pPr>
        <w:pStyle w:val="Heading1"/>
      </w:pPr>
      <w:r>
        <w:t>2. Program Structure &amp; Rules</w:t>
      </w:r>
    </w:p>
    <w:p>
      <w:r>
        <w:t>- Direct recruits must stay at least 90 days to qualify.</w:t>
        <w:br/>
        <w:t>- Indirect recruits provide smaller rewards (250 tokens each).</w:t>
        <w:br/>
        <w:t>- Membership required to join:</w:t>
        <w:br/>
        <w:t xml:space="preserve">   • Financial fee (ETH, USDC, or project token), OR</w:t>
        <w:br/>
        <w:t xml:space="preserve">   • Contribution/role in community (content, moderation, promotion).</w:t>
        <w:br/>
        <w:t>- Rewards vest over time to prevent dumping.</w:t>
        <w:br/>
        <w:t>- Discord promos structured as stacked: base promo + Discord-exclusive multiplier.</w:t>
      </w:r>
    </w:p>
    <w:p>
      <w:pPr>
        <w:pStyle w:val="Heading1"/>
      </w:pPr>
      <w:r>
        <w:t>3. Smart Contract Automation</w:t>
      </w:r>
    </w:p>
    <w:p>
      <w:r>
        <w:t>- Smart contract should handle invite tracking, direct/indirect rewards, vesting, and payouts.</w:t>
        <w:br/>
        <w:t>- Membership fees feed into treasury/liquidity pool.</w:t>
        <w:br/>
        <w:t>- Optional oracle pricing considered but rejected for simplicity and sustainability.</w:t>
        <w:br/>
        <w:t>- Contract should include emergency kill switch.</w:t>
        <w:br/>
        <w:t>- Automated recursion for indefinite downline rewards.</w:t>
        <w:br/>
        <w:t>- Maintenance costs are low (gas, oracle optional, minor dev updates).</w:t>
      </w:r>
    </w:p>
    <w:p>
      <w:pPr>
        <w:pStyle w:val="Heading1"/>
      </w:pPr>
      <w:r>
        <w:t>4. Governance &amp; Board of Directors</w:t>
      </w:r>
    </w:p>
    <w:p>
      <w:r>
        <w:t>- A Board of 3–5 seats recommended for credibility and oversight.</w:t>
        <w:br/>
        <w:t>- Key roles:</w:t>
        <w:br/>
        <w:t xml:space="preserve">   • Program Admin: Oversees referral system, has termination powers.</w:t>
        <w:br/>
        <w:t xml:space="preserve">   • Treasury Guardian: Oversees liquidity and treasury management.</w:t>
        <w:br/>
        <w:t xml:space="preserve">   • Community Voice: Represents holders, rotates every 6–12 months.</w:t>
        <w:br/>
        <w:t xml:space="preserve">   • Strategic Advisor/Founder: Long-term guidance and partnerships.</w:t>
        <w:br/>
        <w:t>- Incentives for board members:</w:t>
        <w:br/>
        <w:t xml:space="preserve">   • Program Admin: % of membership fees.</w:t>
        <w:br/>
        <w:t xml:space="preserve">   • Treasury Guardian: Token stipend, recognition.</w:t>
        <w:br/>
        <w:t xml:space="preserve">   • Community Voice: Rotating seat + NFT badge + bonus tokens.</w:t>
        <w:br/>
        <w:t xml:space="preserve">   • Advisors: Token allocation + reputation.</w:t>
        <w:br/>
        <w:t>- Board Charter will be drafted to formalize roles, powers, and incentives.</w:t>
      </w:r>
    </w:p>
    <w:p>
      <w:pPr>
        <w:pStyle w:val="Heading1"/>
      </w:pPr>
      <w:r>
        <w:t>5. Key Directives &amp; Strategic Decisions</w:t>
      </w:r>
    </w:p>
    <w:p>
      <w:r>
        <w:t>- Early rewards should be flat token-based, later phased into halving/tiered schedules.</w:t>
        <w:br/>
        <w:t>- Avoid pegging rewards to asset prices to prevent complexity and inflation risk.</w:t>
        <w:br/>
        <w:t>- Community Board is not decorative: each role ties directly to engagement, retention, and security.</w:t>
        <w:br/>
        <w:t>- The Board and community building go hand-in-hand as the first step in the project’s credibility.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