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F3DF3" w14:textId="76358F5B" w:rsidR="0035763C" w:rsidRDefault="0035763C" w:rsidP="0035763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5763C">
        <w:rPr>
          <w:rFonts w:ascii="Times New Roman" w:hAnsi="Times New Roman" w:cs="Times New Roman"/>
          <w:b/>
          <w:bCs/>
          <w:sz w:val="28"/>
          <w:szCs w:val="28"/>
        </w:rPr>
        <w:t>Кубланов</w:t>
      </w:r>
      <w:proofErr w:type="spellEnd"/>
      <w:r w:rsidRPr="0035763C">
        <w:rPr>
          <w:rFonts w:ascii="Times New Roman" w:hAnsi="Times New Roman" w:cs="Times New Roman"/>
          <w:b/>
          <w:bCs/>
          <w:sz w:val="28"/>
          <w:szCs w:val="28"/>
        </w:rPr>
        <w:t xml:space="preserve">, В.С. К88 Анализ биомедицинских сигналов в среде </w:t>
      </w:r>
      <w:proofErr w:type="gramStart"/>
      <w:r w:rsidRPr="0035763C">
        <w:rPr>
          <w:rFonts w:ascii="Times New Roman" w:hAnsi="Times New Roman" w:cs="Times New Roman"/>
          <w:b/>
          <w:bCs/>
          <w:sz w:val="28"/>
          <w:szCs w:val="28"/>
        </w:rPr>
        <w:t>MATLAB :</w:t>
      </w:r>
      <w:proofErr w:type="gramEnd"/>
      <w:r w:rsidRPr="0035763C">
        <w:rPr>
          <w:rFonts w:ascii="Times New Roman" w:hAnsi="Times New Roman" w:cs="Times New Roman"/>
          <w:b/>
          <w:bCs/>
          <w:sz w:val="28"/>
          <w:szCs w:val="28"/>
        </w:rPr>
        <w:t xml:space="preserve"> учебное пособие / В.С. </w:t>
      </w:r>
      <w:proofErr w:type="spellStart"/>
      <w:r w:rsidRPr="0035763C">
        <w:rPr>
          <w:rFonts w:ascii="Times New Roman" w:hAnsi="Times New Roman" w:cs="Times New Roman"/>
          <w:b/>
          <w:bCs/>
          <w:sz w:val="28"/>
          <w:szCs w:val="28"/>
        </w:rPr>
        <w:t>Кубланов</w:t>
      </w:r>
      <w:proofErr w:type="spellEnd"/>
      <w:r w:rsidRPr="0035763C">
        <w:rPr>
          <w:rFonts w:ascii="Times New Roman" w:hAnsi="Times New Roman" w:cs="Times New Roman"/>
          <w:b/>
          <w:bCs/>
          <w:sz w:val="28"/>
          <w:szCs w:val="28"/>
        </w:rPr>
        <w:t>, В.И. Борисов, А.Ю. Долганов.— Екатеринбург : Изд-во Урал. ун-та, 2016. – 120 с</w:t>
      </w:r>
    </w:p>
    <w:p w14:paraId="651867C2" w14:textId="63BBF83E" w:rsidR="0035763C" w:rsidRPr="0035763C" w:rsidRDefault="0035763C" w:rsidP="0035763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5763C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35763C">
        <w:rPr>
          <w:rFonts w:ascii="Times New Roman" w:hAnsi="Times New Roman" w:cs="Times New Roman"/>
          <w:b/>
          <w:bCs/>
          <w:sz w:val="28"/>
          <w:szCs w:val="28"/>
        </w:rPr>
        <w:t>тр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5763C">
        <w:rPr>
          <w:rFonts w:ascii="Times New Roman" w:hAnsi="Times New Roman" w:cs="Times New Roman"/>
          <w:b/>
          <w:bCs/>
          <w:sz w:val="28"/>
          <w:szCs w:val="28"/>
        </w:rPr>
        <w:t>15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PQRST</w:t>
      </w:r>
    </w:p>
    <w:p w14:paraId="745177D5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 xml:space="preserve">Основными информационными характеристиками сигнала ЭКГ являются зубец P, комплекс QRS и зубец T, которые вызваны деполяризацией предсердий, деполяризацией желудочков и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реполяризацией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желудочков соответственно.</w:t>
      </w:r>
    </w:p>
    <w:p w14:paraId="746F17F8" w14:textId="75D129B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 xml:space="preserve">Промежуток времени от начала зубца P до начала комплекса QRS называется интервалом PQ и указывает на время, необходимое для прохождения потенциала действия через предсердия и AV узел. В течение последнего участка интервала PQ электрическое напряжение на поверхности тела не регистрируется. Сразу после того, как сердечный импульс выходит из AV узла и поступает в систему волокон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Пуркинье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с высокой скоростью проведения, все клетки желудочковой мускулатуры деполяризуются на протяжении очень короткого времени, что приводит к появлению комплекса QRS. Зубец R — это самая крупная отметка на электрокардиограмме, так как мышечные клетки желудочков очень многочисленны и деполяризуются почти одновременно. За комплексом QRS следует сегмент ST.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763C">
        <w:rPr>
          <w:rFonts w:ascii="Times New Roman" w:hAnsi="Times New Roman" w:cs="Times New Roman"/>
          <w:sz w:val="28"/>
          <w:szCs w:val="28"/>
        </w:rPr>
        <w:t xml:space="preserve">норме во время регистрации сегмента ST на поверхности тела не возникает никаких потенциалов, поскольку в это время ни в каких клетках сердца не происходит быстрых изменений мембранных потенциалов. Клетки предсердий уже вернулись в фазу покоя, а клетки желудочков находятся в фазе плато потенциала действия. Когда клетки желудочков начинают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реполяризироваться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, еще раз появляется напряжение на поверхности тела и на электрокардиограмме фиксируется зубец T. Зубец T шире и не такой высокий, как зубец R, так как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реполяризация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желудочков менее синхронизирована, чем деполяризация. К моменту завершения зубца T все клетки сердца находятся в состоянии покоя.</w:t>
      </w:r>
    </w:p>
    <w:p w14:paraId="64F76D04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lastRenderedPageBreak/>
        <w:t xml:space="preserve">Вариабельность сердечного ритма — это временной ряд (R-R) интервалов на интервале наблюдения. Наибольший разброс (R-R) интервалов свидетельствует о влиянии блуждающих нервов и дыхания и известен как дыхательная синусовая аритмия. По выраженности высокочастотных дыхательных колебаний ритма сердца оценивают состояние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вагальных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механизмов регуляции. Более медленные или низкочастотные колебания длительности (R-R) интервалов обозначаются как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недыхательная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синусовая аритмия и связаны с симпатическими сегментарными и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надсегментарными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отделами ВНС, а также гуморальными влияниями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наводитель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ритма сердца.</w:t>
      </w:r>
    </w:p>
    <w:p w14:paraId="031E3043" w14:textId="4369EE6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 xml:space="preserve">Математические методы анализа биомедицинских сигналов разделяют на следующие группы: </w:t>
      </w:r>
    </w:p>
    <w:p w14:paraId="382E2CD8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 xml:space="preserve">· статистические; </w:t>
      </w:r>
    </w:p>
    <w:p w14:paraId="5E7B1E48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 xml:space="preserve">· вариационные; </w:t>
      </w:r>
    </w:p>
    <w:p w14:paraId="34458966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 xml:space="preserve">· спектральные; </w:t>
      </w:r>
    </w:p>
    <w:p w14:paraId="6AB4CE57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 xml:space="preserve">· корреляционные; </w:t>
      </w:r>
    </w:p>
    <w:p w14:paraId="355CD9F7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 xml:space="preserve">· нелинейной динамики. </w:t>
      </w:r>
    </w:p>
    <w:p w14:paraId="4622A3F5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>Статистические методы применяются для непосредственной прямой количественной оценки ВР сигналов ВСР. Вариационные методы изучают закон распределения (R-R) интервалов как случайных величин. Корреляционные методы изучают внутреннюю структуру ВР путем анализа последовательных пар (R-R) интервалов.</w:t>
      </w:r>
    </w:p>
    <w:p w14:paraId="39F8D5EE" w14:textId="73C891D8" w:rsid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>Спектральный анализ применяется для точной количественной оценки периодических процессов в сердечном ритме. Физиологический смысл спектрального анализа состоит в том, что с его помощью оценивается активность отдельных уровней управления ритмом сердца. Спектральный метод позволяет качественно и количественно оценить соотношения частотных компонент сигнала.</w:t>
      </w:r>
    </w:p>
    <w:p w14:paraId="708FF9D6" w14:textId="6FB321D1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5763C">
        <w:rPr>
          <w:rFonts w:ascii="Times New Roman" w:hAnsi="Times New Roman" w:cs="Times New Roman"/>
          <w:b/>
          <w:bCs/>
          <w:sz w:val="28"/>
          <w:szCs w:val="28"/>
        </w:rPr>
        <w:t>Стр</w:t>
      </w:r>
      <w:proofErr w:type="spellEnd"/>
      <w:r w:rsidRPr="0035763C">
        <w:rPr>
          <w:rFonts w:ascii="Times New Roman" w:hAnsi="Times New Roman" w:cs="Times New Roman"/>
          <w:b/>
          <w:bCs/>
          <w:sz w:val="28"/>
          <w:szCs w:val="28"/>
        </w:rPr>
        <w:t xml:space="preserve"> 37. </w:t>
      </w:r>
      <w:r w:rsidRPr="0035763C">
        <w:rPr>
          <w:rFonts w:ascii="Times New Roman" w:hAnsi="Times New Roman" w:cs="Times New Roman"/>
          <w:b/>
          <w:bCs/>
          <w:sz w:val="28"/>
          <w:szCs w:val="28"/>
        </w:rPr>
        <w:t>Обработка сигнала ВСР вариационными методами</w:t>
      </w:r>
    </w:p>
    <w:p w14:paraId="1A33E2D4" w14:textId="0402ADC6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 xml:space="preserve">Вариационная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пульсометрия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предназначена для изучения закона распределения (R-R) интервалов как случайных величин. Для этого строятся </w:t>
      </w:r>
      <w:r w:rsidRPr="0035763C">
        <w:rPr>
          <w:rFonts w:ascii="Times New Roman" w:hAnsi="Times New Roman" w:cs="Times New Roman"/>
          <w:sz w:val="28"/>
          <w:szCs w:val="28"/>
        </w:rPr>
        <w:lastRenderedPageBreak/>
        <w:t xml:space="preserve">гистограммы распределения (R-R) интервалов в координатах: количество (R-R) интервалов K — длительность (R-R) интервалов τ. Из всего многообразия гистограмм распределения ВСР наиболее типичными являются: </w:t>
      </w:r>
    </w:p>
    <w:p w14:paraId="5391B0E9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070F0D" wp14:editId="1BD91D2C">
            <wp:extent cx="4019550" cy="2418543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800" t="32497" r="24746" b="13531"/>
                    <a:stretch/>
                  </pic:blipFill>
                  <pic:spPr bwMode="auto">
                    <a:xfrm>
                      <a:off x="0" y="0"/>
                      <a:ext cx="4028081" cy="242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CC8F1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 xml:space="preserve">· нормальная гистограмма, близкая по виду к кривым Гаусса, типична для здоровых людей в состоянии покоя; </w:t>
      </w:r>
    </w:p>
    <w:p w14:paraId="11F5876A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>· асимметричная — указывает на нарушение стационарности процесса, наблюдается при переходных состояниях</w:t>
      </w:r>
    </w:p>
    <w:p w14:paraId="1358BA63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 xml:space="preserve">·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эксцессивная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— характеризуется очень узким основанием и заостренной вершиной, регистрируется при выраженном стрессе, патологических состояниях; </w:t>
      </w:r>
    </w:p>
    <w:p w14:paraId="048737AC" w14:textId="7FC989F8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 xml:space="preserve">· полимодальная — обусловлена наличием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несинусового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ритма (мерцательная аритмия, экстрасистолия), а также множественными артефактами при регистрации ВСР.</w:t>
      </w:r>
    </w:p>
    <w:p w14:paraId="526F7542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5763C">
        <w:rPr>
          <w:rFonts w:ascii="Times New Roman" w:hAnsi="Times New Roman" w:cs="Times New Roman"/>
          <w:b/>
          <w:bCs/>
          <w:sz w:val="28"/>
          <w:szCs w:val="28"/>
        </w:rPr>
        <w:t>Стр</w:t>
      </w:r>
      <w:proofErr w:type="spellEnd"/>
      <w:r w:rsidRPr="0035763C">
        <w:rPr>
          <w:rFonts w:ascii="Times New Roman" w:hAnsi="Times New Roman" w:cs="Times New Roman"/>
          <w:b/>
          <w:bCs/>
          <w:sz w:val="28"/>
          <w:szCs w:val="28"/>
        </w:rPr>
        <w:t xml:space="preserve"> 43. Спектральный анализ и дискретное преобразование Фурье</w:t>
      </w:r>
    </w:p>
    <w:p w14:paraId="18F25286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 xml:space="preserve">Спектральный анализ применяется для количественной оценки частотно-временных изменений колебательных процессов в сигнале ВСР. Применение спектрального анализа позволяет наглядно представить соотношения разных компонентов сердечного ритма, отражающих активность определенных звеньев регуляторных механизмов, участвующих в его организации. При спектральном анализе сигналов ВСР выделяют следующие спектральные компоненты: высокочастотная (High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Frequency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— HF), низкочастотная (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Low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Frequency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— LF), очень низкочастотная (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Very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Low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lastRenderedPageBreak/>
        <w:t>Frequency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— VLF) и ультранизкочастотные (Ultra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Low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Frequency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— ULF). Согласно российским и западным стандартам исследования спектральных характеристик ВСР проводят в следующих диапазонах частот [10; 60]:</w:t>
      </w:r>
    </w:p>
    <w:p w14:paraId="2354A796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 xml:space="preserve"> · диапазон HF — от 0,4–0,15 Гц (2,5–6,5 с);</w:t>
      </w:r>
    </w:p>
    <w:p w14:paraId="01ADF538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 xml:space="preserve"> · диапазон LF — от 0,15–0,04 Гц (6,5–25 с);</w:t>
      </w:r>
    </w:p>
    <w:p w14:paraId="09A52303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 xml:space="preserve"> · диапазон VLF — от 0,04–0,003 до Гц (25–333 с);</w:t>
      </w:r>
    </w:p>
    <w:p w14:paraId="1F3CF061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 xml:space="preserve"> · диапазон ULF — частоты ниже 0,003 Гц. </w:t>
      </w:r>
    </w:p>
    <w:p w14:paraId="7FDE6BE0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>При анализе кратковременных 5-минутных записей диапазон ULF не анализируется. Активность парасимпатического звена вегетативной нервной системы и активность автономного контура регуляции характеризуются мощностью высокочастотной составляющей спектра HF. Мощность низкочастотной составляющей спектра LF, по мнению Р.М. Баевского, характеризует преимущественно состояние симпатического центра регуляции сосудистого тонуса.</w:t>
      </w:r>
    </w:p>
    <w:p w14:paraId="12DD7F9A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 xml:space="preserve">Мощность очень низкочастотной составляющей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спектраVLF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обусловлена влиянием на ритм сердца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надсегментарного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уровня регуляции, поскольку амплитуда этих волн тесно связана с психоэмоциональным напряжением и функциональным состоянием коры головного мозга.</w:t>
      </w:r>
    </w:p>
    <w:p w14:paraId="5675058B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>При спектральном анализе ВСР применяют прямое дискретное преобразование Фурье в частотный спектр дискретного сигнала x(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kΔ</w:t>
      </w:r>
      <w:proofErr w:type="spellEnd"/>
      <w:r w:rsidRPr="0035763C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Start"/>
      <w:r w:rsidRPr="0035763C">
        <w:rPr>
          <w:rFonts w:ascii="Times New Roman" w:hAnsi="Times New Roman" w:cs="Times New Roman"/>
          <w:sz w:val="28"/>
          <w:szCs w:val="28"/>
        </w:rPr>
        <w:t>) :</w:t>
      </w:r>
      <w:proofErr w:type="gramEnd"/>
    </w:p>
    <w:p w14:paraId="62629417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40E458" wp14:editId="1B84E920">
            <wp:extent cx="2127250" cy="406400"/>
            <wp:effectExtent l="0" t="0" r="635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"/>
                    <a:srcRect l="30465" t="46940" r="33726" b="40897"/>
                    <a:stretch/>
                  </pic:blipFill>
                  <pic:spPr bwMode="auto">
                    <a:xfrm>
                      <a:off x="0" y="0"/>
                      <a:ext cx="2127250" cy="4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81416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>где N — количество отсчетов сигнала x(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kΔ</w:t>
      </w:r>
      <w:proofErr w:type="spellEnd"/>
      <w:r w:rsidRPr="0035763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5763C">
        <w:rPr>
          <w:rFonts w:ascii="Times New Roman" w:hAnsi="Times New Roman" w:cs="Times New Roman"/>
          <w:sz w:val="28"/>
          <w:szCs w:val="28"/>
        </w:rPr>
        <w:t xml:space="preserve">); k = l = 0, 1, …; (N — 1) — номер отсчета; ∆t — интервал времени между отсчетами; T = (N — </w:t>
      </w:r>
      <w:proofErr w:type="gramStart"/>
      <w:r w:rsidRPr="0035763C">
        <w:rPr>
          <w:rFonts w:ascii="Times New Roman" w:hAnsi="Times New Roman" w:cs="Times New Roman"/>
          <w:sz w:val="28"/>
          <w:szCs w:val="28"/>
        </w:rPr>
        <w:t>1)∆</w:t>
      </w:r>
      <w:proofErr w:type="gramEnd"/>
      <w:r w:rsidRPr="0035763C">
        <w:rPr>
          <w:rFonts w:ascii="Times New Roman" w:hAnsi="Times New Roman" w:cs="Times New Roman"/>
          <w:sz w:val="28"/>
          <w:szCs w:val="28"/>
        </w:rPr>
        <w:t xml:space="preserve">t — временной интервал анализируемого сигнала;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Δw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>= 2</w:t>
      </w:r>
      <w:r w:rsidRPr="0035763C"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35763C">
        <w:rPr>
          <w:rFonts w:ascii="Times New Roman" w:hAnsi="Times New Roman" w:cs="Times New Roman"/>
          <w:sz w:val="28"/>
          <w:szCs w:val="28"/>
        </w:rPr>
        <w:t>/</w:t>
      </w:r>
      <w:r w:rsidRPr="0035763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5763C">
        <w:rPr>
          <w:rFonts w:ascii="Times New Roman" w:hAnsi="Times New Roman" w:cs="Times New Roman"/>
          <w:sz w:val="28"/>
          <w:szCs w:val="28"/>
        </w:rPr>
        <w:t xml:space="preserve"> – шаг спектра в частотной области.</w:t>
      </w:r>
    </w:p>
    <w:p w14:paraId="4E87991C" w14:textId="21206B7E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>Для преобразования частотного спектра X(</w:t>
      </w:r>
      <w:r w:rsidRPr="0035763C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Δw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>) в дискретный сигнал x(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kΔ</w:t>
      </w:r>
      <w:proofErr w:type="spellEnd"/>
      <w:r w:rsidRPr="0035763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5763C">
        <w:rPr>
          <w:rFonts w:ascii="Times New Roman" w:hAnsi="Times New Roman" w:cs="Times New Roman"/>
          <w:sz w:val="28"/>
          <w:szCs w:val="28"/>
        </w:rPr>
        <w:t>) используют обратное преобразование Фурье:</w:t>
      </w:r>
    </w:p>
    <w:p w14:paraId="4309B099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F02C7E" wp14:editId="1CE7BCA3">
            <wp:extent cx="2876550" cy="57785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"/>
                    <a:srcRect l="24051" t="41429" r="27525" b="41277"/>
                    <a:stretch/>
                  </pic:blipFill>
                  <pic:spPr bwMode="auto">
                    <a:xfrm>
                      <a:off x="0" y="0"/>
                      <a:ext cx="2876550" cy="57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8A6DC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lastRenderedPageBreak/>
        <w:t>Под спектральной мощностью понимается следующее выражение:</w:t>
      </w:r>
    </w:p>
    <w:p w14:paraId="5DB6387C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3C6B0C" wp14:editId="05E356D2">
            <wp:extent cx="1276350" cy="59690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/>
                    <a:srcRect l="37734" t="72976" r="40780" b="9160"/>
                    <a:stretch/>
                  </pic:blipFill>
                  <pic:spPr bwMode="auto">
                    <a:xfrm>
                      <a:off x="0" y="0"/>
                      <a:ext cx="1276350" cy="59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1E2D6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 xml:space="preserve">Далее вычисляют: </w:t>
      </w:r>
    </w:p>
    <w:p w14:paraId="0787F3E7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>· абсолютную спектральную мощность в каждом частотном диапазоне HF, LF и VLF:</w:t>
      </w:r>
    </w:p>
    <w:p w14:paraId="05A49553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867740" wp14:editId="2A99CA18">
            <wp:extent cx="1104900" cy="645515"/>
            <wp:effectExtent l="0" t="0" r="0" b="254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/>
                    <a:srcRect l="30358" t="26226" r="39818" b="42797"/>
                    <a:stretch/>
                  </pic:blipFill>
                  <pic:spPr bwMode="auto">
                    <a:xfrm>
                      <a:off x="0" y="0"/>
                      <a:ext cx="1111966" cy="649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151AB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EACE43" wp14:editId="12F7CE7D">
            <wp:extent cx="1079500" cy="1333500"/>
            <wp:effectExtent l="0" t="0" r="635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"/>
                    <a:srcRect l="26938" t="20524" r="42170" b="11631"/>
                    <a:stretch/>
                  </pic:blipFill>
                  <pic:spPr bwMode="auto">
                    <a:xfrm>
                      <a:off x="0" y="0"/>
                      <a:ext cx="1081859" cy="1336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6CFA8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 xml:space="preserve">где </w:t>
      </w:r>
      <w:proofErr w:type="spellStart"/>
      <w:proofErr w:type="gramStart"/>
      <w:r w:rsidRPr="0035763C">
        <w:rPr>
          <w:rFonts w:ascii="Times New Roman" w:hAnsi="Times New Roman" w:cs="Times New Roman"/>
          <w:sz w:val="28"/>
          <w:szCs w:val="28"/>
        </w:rPr>
        <w:t>L</w:t>
      </w:r>
      <w:r w:rsidRPr="0035763C">
        <w:rPr>
          <w:rFonts w:ascii="Times New Roman" w:hAnsi="Times New Roman" w:cs="Times New Roman"/>
          <w:sz w:val="28"/>
          <w:szCs w:val="28"/>
          <w:vertAlign w:val="subscript"/>
        </w:rPr>
        <w:t>HFf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3576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L</w:t>
      </w:r>
      <w:r w:rsidRPr="0035763C">
        <w:rPr>
          <w:rFonts w:ascii="Times New Roman" w:hAnsi="Times New Roman" w:cs="Times New Roman"/>
          <w:sz w:val="28"/>
          <w:szCs w:val="28"/>
          <w:vertAlign w:val="subscript"/>
        </w:rPr>
        <w:t>HFi</w:t>
      </w:r>
      <w:proofErr w:type="spellEnd"/>
      <w:r w:rsidRPr="0035763C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3576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L</w:t>
      </w:r>
      <w:r w:rsidRPr="0035763C">
        <w:rPr>
          <w:rFonts w:ascii="Times New Roman" w:hAnsi="Times New Roman" w:cs="Times New Roman"/>
          <w:sz w:val="28"/>
          <w:szCs w:val="28"/>
          <w:vertAlign w:val="subscript"/>
        </w:rPr>
        <w:t>LFf</w:t>
      </w:r>
      <w:proofErr w:type="spellEnd"/>
      <w:r w:rsidRPr="0035763C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3576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L</w:t>
      </w:r>
      <w:r w:rsidRPr="0035763C">
        <w:rPr>
          <w:rFonts w:ascii="Times New Roman" w:hAnsi="Times New Roman" w:cs="Times New Roman"/>
          <w:sz w:val="28"/>
          <w:szCs w:val="28"/>
          <w:vertAlign w:val="subscript"/>
        </w:rPr>
        <w:t>LFi</w:t>
      </w:r>
      <w:proofErr w:type="spellEnd"/>
      <w:r w:rsidRPr="0035763C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3576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L</w:t>
      </w:r>
      <w:r w:rsidRPr="0035763C">
        <w:rPr>
          <w:rFonts w:ascii="Times New Roman" w:hAnsi="Times New Roman" w:cs="Times New Roman"/>
          <w:sz w:val="28"/>
          <w:szCs w:val="28"/>
          <w:vertAlign w:val="subscript"/>
        </w:rPr>
        <w:t>VLFf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L</w:t>
      </w:r>
      <w:r w:rsidRPr="0035763C">
        <w:rPr>
          <w:rFonts w:ascii="Times New Roman" w:hAnsi="Times New Roman" w:cs="Times New Roman"/>
          <w:sz w:val="28"/>
          <w:szCs w:val="28"/>
          <w:vertAlign w:val="subscript"/>
        </w:rPr>
        <w:t>VLFi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— номера граничных отсчетов спектральной мощности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P</w:t>
      </w:r>
      <w:r w:rsidRPr="0035763C">
        <w:rPr>
          <w:rFonts w:ascii="Times New Roman" w:hAnsi="Times New Roman" w:cs="Times New Roman"/>
          <w:sz w:val="28"/>
          <w:szCs w:val="28"/>
          <w:vertAlign w:val="subscript"/>
        </w:rPr>
        <w:t>l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в каждом частотном диапазоне HF, LF и VLF</w:t>
      </w:r>
    </w:p>
    <w:p w14:paraId="59794542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>· суммарную мощность спектра (Total Power — TP), которая определяется как сумма мощностей в диапазонах HF, LF и VLF</w:t>
      </w:r>
    </w:p>
    <w:p w14:paraId="1C62DE07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 xml:space="preserve">· нормированное значение мощности в каждом частотном диапазоне в процентах от суммарной мощности спектра ТР —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HFn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LFn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VLFn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>;</w:t>
      </w:r>
    </w:p>
    <w:p w14:paraId="17EC7F59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>· индекс вегетативного баланса — LF/HF;</w:t>
      </w:r>
    </w:p>
    <w:p w14:paraId="66DE33C6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>· индекс централизации</w:t>
      </w:r>
    </w:p>
    <w:p w14:paraId="757526D7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B94556" wp14:editId="29A5C95D">
            <wp:extent cx="793750" cy="285750"/>
            <wp:effectExtent l="0" t="0" r="635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/>
                    <a:srcRect l="41368" t="53592" r="45270" b="37856"/>
                    <a:stretch/>
                  </pic:blipFill>
                  <pic:spPr bwMode="auto">
                    <a:xfrm>
                      <a:off x="0" y="0"/>
                      <a:ext cx="79375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0063C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>· индекс активации подкорковых нервных центров</w:t>
      </w:r>
    </w:p>
    <w:p w14:paraId="40DBF6A7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2AB572" wp14:editId="797FCD3F">
            <wp:extent cx="654050" cy="32385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/>
                    <a:srcRect l="42330" t="70126" r="46659" b="20183"/>
                    <a:stretch/>
                  </pic:blipFill>
                  <pic:spPr bwMode="auto">
                    <a:xfrm>
                      <a:off x="0" y="0"/>
                      <a:ext cx="654050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229C0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>Приведены значения интенсивностей нормированных значений спектральных составляющих ВСР в норме, %:</w:t>
      </w:r>
    </w:p>
    <w:p w14:paraId="6F5896B8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5763C">
        <w:rPr>
          <w:rFonts w:ascii="Times New Roman" w:hAnsi="Times New Roman" w:cs="Times New Roman"/>
          <w:sz w:val="28"/>
          <w:szCs w:val="28"/>
        </w:rPr>
        <w:t>HFn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.......................... 10–30 </w:t>
      </w:r>
    </w:p>
    <w:p w14:paraId="349B073B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5763C">
        <w:rPr>
          <w:rFonts w:ascii="Times New Roman" w:hAnsi="Times New Roman" w:cs="Times New Roman"/>
          <w:sz w:val="28"/>
          <w:szCs w:val="28"/>
        </w:rPr>
        <w:t>LFn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.......................... 15–45 </w:t>
      </w:r>
    </w:p>
    <w:p w14:paraId="3A713BF9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5763C">
        <w:rPr>
          <w:rFonts w:ascii="Times New Roman" w:hAnsi="Times New Roman" w:cs="Times New Roman"/>
          <w:sz w:val="28"/>
          <w:szCs w:val="28"/>
        </w:rPr>
        <w:t>VLFn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........................ 20–60</w:t>
      </w:r>
    </w:p>
    <w:p w14:paraId="25169B9F" w14:textId="77777777" w:rsidR="0035763C" w:rsidRPr="0035763C" w:rsidRDefault="0035763C" w:rsidP="0035763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5763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Стр</w:t>
      </w:r>
      <w:proofErr w:type="spellEnd"/>
      <w:r w:rsidRPr="0035763C">
        <w:rPr>
          <w:rFonts w:ascii="Times New Roman" w:hAnsi="Times New Roman" w:cs="Times New Roman"/>
          <w:b/>
          <w:bCs/>
          <w:sz w:val="28"/>
          <w:szCs w:val="28"/>
        </w:rPr>
        <w:t xml:space="preserve"> 46 Вейвлет-преобразование</w:t>
      </w:r>
    </w:p>
    <w:p w14:paraId="6F5CE645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 xml:space="preserve">Для анализа нестационарных сигналов применяется вейвлет-преобразование, которое позволяет выявлять частотно-временные неоднородности исследуемых процессов как стационарных, так и нестационарных. </w:t>
      </w:r>
    </w:p>
    <w:p w14:paraId="59FAD828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>Уравнение для непрерывного интегрального вейвлет-преобразования анализируемого сигнала s(t) имеет следующий вид:</w:t>
      </w:r>
    </w:p>
    <w:p w14:paraId="07435060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F1ED3D" wp14:editId="7A2700AB">
            <wp:extent cx="1530350" cy="36830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/>
                    <a:srcRect l="34846" t="63094" r="39392" b="25884"/>
                    <a:stretch/>
                  </pic:blipFill>
                  <pic:spPr bwMode="auto">
                    <a:xfrm>
                      <a:off x="0" y="0"/>
                      <a:ext cx="1530350" cy="36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F1E2F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>где a — масштабирующий параметр; b — параметр сдвига; y — анализирующий базисный вейвлет; s (</w:t>
      </w:r>
      <w:proofErr w:type="gramStart"/>
      <w:r w:rsidRPr="0035763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5763C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Pr="0035763C">
        <w:rPr>
          <w:rFonts w:ascii="Times New Roman" w:hAnsi="Times New Roman" w:cs="Times New Roman"/>
          <w:sz w:val="28"/>
          <w:szCs w:val="28"/>
        </w:rPr>
        <w:t xml:space="preserve"> — исходный сигнал. В среде MATLAB связь масштабирующего параметра а с частотой выражается формулой:</w:t>
      </w:r>
    </w:p>
    <w:p w14:paraId="0DE5CA78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519336" wp14:editId="65895874">
            <wp:extent cx="603250" cy="361950"/>
            <wp:effectExtent l="0" t="0" r="635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3"/>
                    <a:srcRect l="42437" t="35158" r="47408" b="54010"/>
                    <a:stretch/>
                  </pic:blipFill>
                  <pic:spPr bwMode="auto">
                    <a:xfrm>
                      <a:off x="0" y="0"/>
                      <a:ext cx="603250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50575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 xml:space="preserve">где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f</w:t>
      </w:r>
      <w:r w:rsidRPr="0035763C">
        <w:rPr>
          <w:rFonts w:ascii="Times New Roman" w:hAnsi="Times New Roman" w:cs="Times New Roman"/>
          <w:sz w:val="28"/>
          <w:szCs w:val="28"/>
          <w:vertAlign w:val="subscript"/>
        </w:rPr>
        <w:t>c</w:t>
      </w:r>
      <w:proofErr w:type="spellEnd"/>
      <w:r w:rsidRPr="0035763C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35763C">
        <w:rPr>
          <w:rFonts w:ascii="Times New Roman" w:hAnsi="Times New Roman" w:cs="Times New Roman"/>
          <w:sz w:val="28"/>
          <w:szCs w:val="28"/>
        </w:rPr>
        <w:t xml:space="preserve">– центральная частота вейвлета, вызываемая функцией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centfrq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delta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— время дискретизации исследуемого сигнала; f — анализируемая частота.</w:t>
      </w:r>
    </w:p>
    <w:p w14:paraId="46FF2542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>Результаты оценок применения вейвлет-преобразования для конкретного вида изучаемого сигнала могут зависеть от выбора базисной функции. Для оценок спектральных характеристик ВСР рекомендуется использовать следующие базисные вейвлеты:</w:t>
      </w:r>
    </w:p>
    <w:p w14:paraId="454520F4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>· Гаусса (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gausN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>, где N = {5, 7, 8});</w:t>
      </w:r>
    </w:p>
    <w:p w14:paraId="080E1187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 xml:space="preserve"> ·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Добеши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dbN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, где N = {5, 7, 8, 9, 10}); </w:t>
      </w:r>
    </w:p>
    <w:p w14:paraId="1EC31633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 xml:space="preserve">·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симлеты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symN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>, где N = {5, 7, 8});</w:t>
      </w:r>
    </w:p>
    <w:p w14:paraId="3D37782C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 xml:space="preserve">·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койфлеты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coifN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, где N = {3, 4, 5}); </w:t>
      </w:r>
    </w:p>
    <w:p w14:paraId="1409FB11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 xml:space="preserve">·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Морле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morl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>).</w:t>
      </w:r>
    </w:p>
    <w:p w14:paraId="5DF16ECD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>Информационные особенности вейвлет-преобразования анализируются по данным ВР индекса вегетативного баланса</w:t>
      </w:r>
    </w:p>
    <w:p w14:paraId="12348E16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13522D" wp14:editId="3D4461BD">
            <wp:extent cx="1028700" cy="57150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4"/>
                    <a:srcRect l="6841" t="41239" r="75842" b="41658"/>
                    <a:stretch/>
                  </pic:blipFill>
                  <pic:spPr bwMode="auto">
                    <a:xfrm>
                      <a:off x="0" y="0"/>
                      <a:ext cx="102870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B8CC8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lastRenderedPageBreak/>
        <w:t xml:space="preserve">где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LF</w:t>
      </w:r>
      <w:r w:rsidRPr="0035763C">
        <w:rPr>
          <w:rFonts w:ascii="Times New Roman" w:hAnsi="Times New Roman" w:cs="Times New Roman"/>
          <w:sz w:val="28"/>
          <w:szCs w:val="28"/>
          <w:vertAlign w:val="subscript"/>
        </w:rPr>
        <w:t>вп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HF</w:t>
      </w:r>
      <w:r w:rsidRPr="0035763C">
        <w:rPr>
          <w:rFonts w:ascii="Times New Roman" w:hAnsi="Times New Roman" w:cs="Times New Roman"/>
          <w:sz w:val="28"/>
          <w:szCs w:val="28"/>
          <w:vertAlign w:val="subscript"/>
        </w:rPr>
        <w:t>вп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— вейвлет-преобразования интенсивностей периодических составляющих ВСР в диапазонах частот LF и HF соответственно.</w:t>
      </w:r>
    </w:p>
    <w:p w14:paraId="58947D44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 xml:space="preserve">Функционал </w:t>
      </w:r>
      <w:r w:rsidRPr="003576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665DE4" wp14:editId="092C9939">
            <wp:extent cx="1030605" cy="572770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605" cy="572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35763C">
        <w:rPr>
          <w:rFonts w:ascii="Times New Roman" w:hAnsi="Times New Roman" w:cs="Times New Roman"/>
          <w:sz w:val="28"/>
          <w:szCs w:val="28"/>
        </w:rPr>
        <w:t>не является гладкой функцией, а параметры его «выбросов» (локальных дисфункций) изменяются при функциональных нагрузках.</w:t>
      </w:r>
    </w:p>
    <w:p w14:paraId="539684C6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>Для идентификации локальных дисфункций A</w:t>
      </w:r>
      <w:r w:rsidRPr="0035763C">
        <w:rPr>
          <w:rFonts w:ascii="Times New Roman" w:hAnsi="Times New Roman" w:cs="Times New Roman"/>
          <w:sz w:val="28"/>
          <w:szCs w:val="28"/>
          <w:vertAlign w:val="subscript"/>
        </w:rPr>
        <w:t>F</w:t>
      </w:r>
      <w:r w:rsidRPr="0035763C">
        <w:rPr>
          <w:rFonts w:ascii="Times New Roman" w:hAnsi="Times New Roman" w:cs="Times New Roman"/>
          <w:sz w:val="28"/>
          <w:szCs w:val="28"/>
        </w:rPr>
        <w:t xml:space="preserve"> функционала </w:t>
      </w:r>
      <w:r w:rsidRPr="003576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FEC553" wp14:editId="5EE4BBAB">
            <wp:extent cx="1030605" cy="57277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605" cy="572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35763C">
        <w:rPr>
          <w:rFonts w:ascii="Times New Roman" w:hAnsi="Times New Roman" w:cs="Times New Roman"/>
          <w:sz w:val="28"/>
          <w:szCs w:val="28"/>
        </w:rPr>
        <w:t>применяется решающее правило:</w:t>
      </w:r>
    </w:p>
    <w:p w14:paraId="50708F6C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008A02" wp14:editId="17BB1E02">
            <wp:extent cx="565150" cy="317500"/>
            <wp:effectExtent l="0" t="0" r="6350" b="635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6"/>
                    <a:srcRect l="43506" t="27556" r="46980" b="62942"/>
                    <a:stretch/>
                  </pic:blipFill>
                  <pic:spPr bwMode="auto">
                    <a:xfrm>
                      <a:off x="0" y="0"/>
                      <a:ext cx="565150" cy="31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B06DE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 xml:space="preserve">где Δ – порог принятия решения о наличии дисфункций функционала </w:t>
      </w:r>
      <w:r w:rsidRPr="003576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7AFDCF" wp14:editId="0967A1D4">
            <wp:extent cx="1030605" cy="572770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605" cy="572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35763C">
        <w:rPr>
          <w:rFonts w:ascii="Times New Roman" w:hAnsi="Times New Roman" w:cs="Times New Roman"/>
          <w:sz w:val="28"/>
          <w:szCs w:val="28"/>
        </w:rPr>
        <w:t>в норме, Δ = 10.</w:t>
      </w:r>
    </w:p>
    <w:p w14:paraId="388323F4" w14:textId="77777777" w:rsidR="0035763C" w:rsidRPr="0035763C" w:rsidRDefault="0035763C" w:rsidP="003576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763C">
        <w:rPr>
          <w:rFonts w:ascii="Times New Roman" w:hAnsi="Times New Roman" w:cs="Times New Roman"/>
          <w:sz w:val="28"/>
          <w:szCs w:val="28"/>
        </w:rPr>
        <w:t>В качестве параметров локальных дисфункций A</w:t>
      </w:r>
      <w:r w:rsidRPr="0035763C">
        <w:rPr>
          <w:rFonts w:ascii="Times New Roman" w:hAnsi="Times New Roman" w:cs="Times New Roman"/>
          <w:sz w:val="28"/>
          <w:szCs w:val="28"/>
          <w:vertAlign w:val="subscript"/>
        </w:rPr>
        <w:t>F</w:t>
      </w:r>
      <w:r w:rsidRPr="0035763C">
        <w:rPr>
          <w:rFonts w:ascii="Times New Roman" w:hAnsi="Times New Roman" w:cs="Times New Roman"/>
          <w:sz w:val="28"/>
          <w:szCs w:val="28"/>
        </w:rPr>
        <w:t xml:space="preserve"> функционала </w:t>
      </w:r>
      <w:r w:rsidRPr="003576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B7FB43" wp14:editId="182F15FE">
            <wp:extent cx="1030605" cy="572770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605" cy="572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35763C">
        <w:rPr>
          <w:rFonts w:ascii="Times New Roman" w:hAnsi="Times New Roman" w:cs="Times New Roman"/>
          <w:sz w:val="28"/>
          <w:szCs w:val="28"/>
        </w:rPr>
        <w:t xml:space="preserve">применяют количество дисфункций N, максимальное значение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A</w:t>
      </w:r>
      <w:r w:rsidRPr="0035763C">
        <w:rPr>
          <w:rFonts w:ascii="Times New Roman" w:hAnsi="Times New Roman" w:cs="Times New Roman"/>
          <w:sz w:val="28"/>
          <w:szCs w:val="28"/>
          <w:vertAlign w:val="subscript"/>
        </w:rPr>
        <w:t>макс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их амплитуды и интенсивность </w:t>
      </w:r>
      <w:proofErr w:type="spellStart"/>
      <w:r w:rsidRPr="0035763C">
        <w:rPr>
          <w:rFonts w:ascii="Times New Roman" w:hAnsi="Times New Roman" w:cs="Times New Roman"/>
          <w:sz w:val="28"/>
          <w:szCs w:val="28"/>
        </w:rPr>
        <w:t>A</w:t>
      </w:r>
      <w:r w:rsidRPr="0035763C">
        <w:rPr>
          <w:rFonts w:ascii="Times New Roman" w:hAnsi="Times New Roman" w:cs="Times New Roman"/>
          <w:sz w:val="28"/>
          <w:szCs w:val="28"/>
          <w:vertAlign w:val="subscript"/>
        </w:rPr>
        <w:t>intense</w:t>
      </w:r>
      <w:proofErr w:type="spellEnd"/>
      <w:r w:rsidRPr="0035763C">
        <w:rPr>
          <w:rFonts w:ascii="Times New Roman" w:hAnsi="Times New Roman" w:cs="Times New Roman"/>
          <w:sz w:val="28"/>
          <w:szCs w:val="28"/>
        </w:rPr>
        <w:t xml:space="preserve"> на интервале наблюдения.</w:t>
      </w:r>
    </w:p>
    <w:p w14:paraId="1D76282D" w14:textId="77777777" w:rsidR="009C5BDA" w:rsidRDefault="009C5BDA"/>
    <w:sectPr w:rsidR="009C5B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63C"/>
    <w:rsid w:val="0035763C"/>
    <w:rsid w:val="009C5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863D5"/>
  <w15:chartTrackingRefBased/>
  <w15:docId w15:val="{54FA3B8F-9A82-42D7-9494-11BCC5338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763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1335</Words>
  <Characters>7614</Characters>
  <Application>Microsoft Office Word</Application>
  <DocSecurity>0</DocSecurity>
  <Lines>63</Lines>
  <Paragraphs>17</Paragraphs>
  <ScaleCrop>false</ScaleCrop>
  <Company/>
  <LinksUpToDate>false</LinksUpToDate>
  <CharactersWithSpaces>8932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Денисова</dc:creator>
  <cp:keywords/>
  <dc:description/>
  <cp:lastModifiedBy>Елена Денисова</cp:lastModifiedBy>
  <cp:revision>1</cp:revision>
  <dcterms:created xsi:type="dcterms:W3CDTF">2021-10-20T09:49:00Z</dcterms:created>
  <dcterms:modified xsi:type="dcterms:W3CDTF">2021-10-20T09:55:00Z</dcterms:modified>
</cp:coreProperties>
</file>