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body>
    <w:p>
      <w:pPr>
        <w:pStyle w:val="papertitle"/>
        <w:spacing w:after="120" w:line="240" w:lineRule="auto"/>
        <w:jc w:val="center"/>
      </w:pPr>
      <w:r>
        <w:rPr>
          <w:rFonts w:ascii="Times New Roman" w:hAnsi="Times New Roman" w:eastAsia="Times New Roman" w:cs="Times New Roman"/>
          <w:b w:val="0"/>
          <w:i w:val="0"/>
          <w:sz w:val="36"/>
        </w:rPr>
        <w:t>SecureLLMBench: A Traceable Framework for Safety and Security Evaluation of Local Large Language Models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60"/>
        <w:gridCol w:w="5060"/>
      </w:tblGrid>
      <w:tr>
        <w:tc>
          <w:tcPr>
            <w:tcW w:type="dxa" w:w="4752"/>
            <w:vAlign w:val="center"/>
          </w:tcPr>
          <w:p>
            <w:pPr>
              <w:pStyle w:val="Author"/>
              <w:spacing w:after="80"/>
              <w:jc w:val="center"/>
            </w:pPr>
            <w:r>
              <w:rPr>
                <w:rFonts w:ascii="Times New Roman" w:hAnsi="Times New Roman" w:eastAsia="Times New Roman" w:cs="Times New Roman"/>
                <w:b/>
                <w:i w:val="0"/>
                <w:sz w:val="14"/>
              </w:rPr>
              <w:t>[Author 1 Full Name]</w:t>
            </w:r>
            <w:r>
              <w:rPr>
                <w:rFonts w:ascii="Times New Roman" w:hAnsi="Times New Roman" w:eastAsia="Times New Roman" w:cs="Times New Roman"/>
                <w:b w:val="0"/>
                <w:i w:val="0"/>
                <w:sz w:val="16"/>
              </w:rPr>
              <w:br/>
            </w:r>
            <w:r>
              <w:rPr>
                <w:rFonts w:ascii="Times New Roman" w:hAnsi="Times New Roman" w:eastAsia="Times New Roman" w:cs="Times New Roman"/>
                <w:b w:val="0"/>
                <w:i/>
                <w:sz w:val="14"/>
              </w:rPr>
              <w:t>[Department or Research Group]</w:t>
            </w:r>
            <w:r>
              <w:rPr>
                <w:rFonts w:ascii="Times New Roman" w:hAnsi="Times New Roman" w:eastAsia="Times New Roman" w:cs="Times New Roman"/>
                <w:b w:val="0"/>
                <w:i w:val="0"/>
                <w:sz w:val="16"/>
              </w:rPr>
              <w:br/>
            </w:r>
            <w:r>
              <w:rPr>
                <w:rFonts w:ascii="Times New Roman" w:hAnsi="Times New Roman" w:eastAsia="Times New Roman" w:cs="Times New Roman"/>
                <w:b w:val="0"/>
                <w:i/>
                <w:sz w:val="14"/>
              </w:rPr>
              <w:t>[University or Organization]</w:t>
            </w:r>
            <w:r>
              <w:rPr>
                <w:rFonts w:ascii="Times New Roman" w:hAnsi="Times New Roman" w:eastAsia="Times New Roman" w:cs="Times New Roman"/>
                <w:b w:val="0"/>
                <w:i w:val="0"/>
                <w:sz w:val="16"/>
              </w:rPr>
              <w:br/>
            </w:r>
            <w:r>
              <w:rPr>
                <w:rFonts w:ascii="Times New Roman" w:hAnsi="Times New Roman" w:eastAsia="Times New Roman" w:cs="Times New Roman"/>
                <w:b w:val="0"/>
                <w:i w:val="0"/>
                <w:sz w:val="14"/>
              </w:rPr>
              <w:t>[City, Country]</w:t>
            </w:r>
            <w:r>
              <w:rPr>
                <w:rFonts w:ascii="Times New Roman" w:hAnsi="Times New Roman" w:eastAsia="Times New Roman" w:cs="Times New Roman"/>
                <w:b w:val="0"/>
                <w:i w:val="0"/>
                <w:sz w:val="16"/>
              </w:rPr>
              <w:br/>
            </w:r>
            <w:r>
              <w:rPr>
                <w:rFonts w:ascii="Times New Roman" w:hAnsi="Times New Roman" w:eastAsia="Times New Roman" w:cs="Times New Roman"/>
                <w:b w:val="0"/>
                <w:i w:val="0"/>
                <w:sz w:val="14"/>
              </w:rPr>
              <w:t>[author1@example.com]</w:t>
            </w:r>
          </w:p>
        </w:tc>
        <w:tc>
          <w:tcPr>
            <w:tcW w:type="dxa" w:w="4752"/>
            <w:vAlign w:val="center"/>
          </w:tcPr>
          <w:p>
            <w:pPr>
              <w:pStyle w:val="Author"/>
              <w:spacing w:after="80"/>
              <w:jc w:val="center"/>
            </w:pPr>
            <w:r>
              <w:rPr>
                <w:rFonts w:ascii="Times New Roman" w:hAnsi="Times New Roman" w:eastAsia="Times New Roman" w:cs="Times New Roman"/>
                <w:b/>
                <w:i w:val="0"/>
                <w:sz w:val="14"/>
              </w:rPr>
              <w:t>[Author 2 Full Name]</w:t>
            </w:r>
            <w:r>
              <w:rPr>
                <w:rFonts w:ascii="Times New Roman" w:hAnsi="Times New Roman" w:eastAsia="Times New Roman" w:cs="Times New Roman"/>
                <w:b w:val="0"/>
                <w:i w:val="0"/>
                <w:sz w:val="16"/>
              </w:rPr>
              <w:br/>
            </w:r>
            <w:r>
              <w:rPr>
                <w:rFonts w:ascii="Times New Roman" w:hAnsi="Times New Roman" w:eastAsia="Times New Roman" w:cs="Times New Roman"/>
                <w:b w:val="0"/>
                <w:i/>
                <w:sz w:val="14"/>
              </w:rPr>
              <w:t>[Department or Research Group]</w:t>
            </w:r>
            <w:r>
              <w:rPr>
                <w:rFonts w:ascii="Times New Roman" w:hAnsi="Times New Roman" w:eastAsia="Times New Roman" w:cs="Times New Roman"/>
                <w:b w:val="0"/>
                <w:i w:val="0"/>
                <w:sz w:val="16"/>
              </w:rPr>
              <w:br/>
            </w:r>
            <w:r>
              <w:rPr>
                <w:rFonts w:ascii="Times New Roman" w:hAnsi="Times New Roman" w:eastAsia="Times New Roman" w:cs="Times New Roman"/>
                <w:b w:val="0"/>
                <w:i/>
                <w:sz w:val="14"/>
              </w:rPr>
              <w:t>[University or Organization]</w:t>
            </w:r>
            <w:r>
              <w:rPr>
                <w:rFonts w:ascii="Times New Roman" w:hAnsi="Times New Roman" w:eastAsia="Times New Roman" w:cs="Times New Roman"/>
                <w:b w:val="0"/>
                <w:i w:val="0"/>
                <w:sz w:val="16"/>
              </w:rPr>
              <w:br/>
            </w:r>
            <w:r>
              <w:rPr>
                <w:rFonts w:ascii="Times New Roman" w:hAnsi="Times New Roman" w:eastAsia="Times New Roman" w:cs="Times New Roman"/>
                <w:b w:val="0"/>
                <w:i w:val="0"/>
                <w:sz w:val="14"/>
              </w:rPr>
              <w:t>[City, Country]</w:t>
            </w:r>
            <w:r>
              <w:rPr>
                <w:rFonts w:ascii="Times New Roman" w:hAnsi="Times New Roman" w:eastAsia="Times New Roman" w:cs="Times New Roman"/>
                <w:b w:val="0"/>
                <w:i w:val="0"/>
                <w:sz w:val="16"/>
              </w:rPr>
              <w:br/>
            </w:r>
            <w:r>
              <w:rPr>
                <w:rFonts w:ascii="Times New Roman" w:hAnsi="Times New Roman" w:eastAsia="Times New Roman" w:cs="Times New Roman"/>
                <w:b w:val="0"/>
                <w:i w:val="0"/>
                <w:sz w:val="14"/>
              </w:rPr>
              <w:t>[author2@example.com]</w:t>
            </w:r>
          </w:p>
        </w:tc>
      </w:tr>
      <w:tr>
        <w:tc>
          <w:tcPr>
            <w:tcW w:type="dxa" w:w="4752"/>
            <w:vAlign w:val="center"/>
          </w:tcPr>
          <w:p>
            <w:pPr>
              <w:pStyle w:val="Author"/>
              <w:spacing w:after="80"/>
              <w:jc w:val="center"/>
            </w:pPr>
            <w:r>
              <w:rPr>
                <w:rFonts w:ascii="Times New Roman" w:hAnsi="Times New Roman" w:eastAsia="Times New Roman" w:cs="Times New Roman"/>
                <w:b/>
                <w:i w:val="0"/>
                <w:sz w:val="14"/>
              </w:rPr>
              <w:t>[Author 3 Full Name]</w:t>
            </w:r>
            <w:r>
              <w:rPr>
                <w:rFonts w:ascii="Times New Roman" w:hAnsi="Times New Roman" w:eastAsia="Times New Roman" w:cs="Times New Roman"/>
                <w:b w:val="0"/>
                <w:i w:val="0"/>
                <w:sz w:val="16"/>
              </w:rPr>
              <w:br/>
            </w:r>
            <w:r>
              <w:rPr>
                <w:rFonts w:ascii="Times New Roman" w:hAnsi="Times New Roman" w:eastAsia="Times New Roman" w:cs="Times New Roman"/>
                <w:b w:val="0"/>
                <w:i/>
                <w:sz w:val="14"/>
              </w:rPr>
              <w:t>[Department or Research Group]</w:t>
            </w:r>
            <w:r>
              <w:rPr>
                <w:rFonts w:ascii="Times New Roman" w:hAnsi="Times New Roman" w:eastAsia="Times New Roman" w:cs="Times New Roman"/>
                <w:b w:val="0"/>
                <w:i w:val="0"/>
                <w:sz w:val="16"/>
              </w:rPr>
              <w:br/>
            </w:r>
            <w:r>
              <w:rPr>
                <w:rFonts w:ascii="Times New Roman" w:hAnsi="Times New Roman" w:eastAsia="Times New Roman" w:cs="Times New Roman"/>
                <w:b w:val="0"/>
                <w:i/>
                <w:sz w:val="14"/>
              </w:rPr>
              <w:t>[University or Organization]</w:t>
            </w:r>
            <w:r>
              <w:rPr>
                <w:rFonts w:ascii="Times New Roman" w:hAnsi="Times New Roman" w:eastAsia="Times New Roman" w:cs="Times New Roman"/>
                <w:b w:val="0"/>
                <w:i w:val="0"/>
                <w:sz w:val="16"/>
              </w:rPr>
              <w:br/>
            </w:r>
            <w:r>
              <w:rPr>
                <w:rFonts w:ascii="Times New Roman" w:hAnsi="Times New Roman" w:eastAsia="Times New Roman" w:cs="Times New Roman"/>
                <w:b w:val="0"/>
                <w:i w:val="0"/>
                <w:sz w:val="14"/>
              </w:rPr>
              <w:t>[City, Country]</w:t>
            </w:r>
            <w:r>
              <w:rPr>
                <w:rFonts w:ascii="Times New Roman" w:hAnsi="Times New Roman" w:eastAsia="Times New Roman" w:cs="Times New Roman"/>
                <w:b w:val="0"/>
                <w:i w:val="0"/>
                <w:sz w:val="16"/>
              </w:rPr>
              <w:br/>
            </w:r>
            <w:r>
              <w:rPr>
                <w:rFonts w:ascii="Times New Roman" w:hAnsi="Times New Roman" w:eastAsia="Times New Roman" w:cs="Times New Roman"/>
                <w:b w:val="0"/>
                <w:i w:val="0"/>
                <w:sz w:val="14"/>
              </w:rPr>
              <w:t>[author3@example.com]</w:t>
            </w:r>
          </w:p>
        </w:tc>
        <w:tc>
          <w:tcPr>
            <w:tcW w:type="dxa" w:w="4752"/>
            <w:vAlign w:val="center"/>
          </w:tcPr>
          <w:p>
            <w:pPr>
              <w:pStyle w:val="Author"/>
              <w:spacing w:after="80"/>
              <w:jc w:val="center"/>
            </w:pPr>
            <w:r>
              <w:rPr>
                <w:rFonts w:ascii="Times New Roman" w:hAnsi="Times New Roman" w:eastAsia="Times New Roman" w:cs="Times New Roman"/>
                <w:b/>
                <w:i w:val="0"/>
                <w:sz w:val="14"/>
              </w:rPr>
              <w:t>[Author 4 Full Name]</w:t>
            </w:r>
            <w:r>
              <w:rPr>
                <w:rFonts w:ascii="Times New Roman" w:hAnsi="Times New Roman" w:eastAsia="Times New Roman" w:cs="Times New Roman"/>
                <w:b w:val="0"/>
                <w:i w:val="0"/>
                <w:sz w:val="16"/>
              </w:rPr>
              <w:br/>
            </w:r>
            <w:r>
              <w:rPr>
                <w:rFonts w:ascii="Times New Roman" w:hAnsi="Times New Roman" w:eastAsia="Times New Roman" w:cs="Times New Roman"/>
                <w:b w:val="0"/>
                <w:i/>
                <w:sz w:val="14"/>
              </w:rPr>
              <w:t>[Department or Research Group]</w:t>
            </w:r>
            <w:r>
              <w:rPr>
                <w:rFonts w:ascii="Times New Roman" w:hAnsi="Times New Roman" w:eastAsia="Times New Roman" w:cs="Times New Roman"/>
                <w:b w:val="0"/>
                <w:i w:val="0"/>
                <w:sz w:val="16"/>
              </w:rPr>
              <w:br/>
            </w:r>
            <w:r>
              <w:rPr>
                <w:rFonts w:ascii="Times New Roman" w:hAnsi="Times New Roman" w:eastAsia="Times New Roman" w:cs="Times New Roman"/>
                <w:b w:val="0"/>
                <w:i/>
                <w:sz w:val="14"/>
              </w:rPr>
              <w:t>[University or Organization]</w:t>
            </w:r>
            <w:r>
              <w:rPr>
                <w:rFonts w:ascii="Times New Roman" w:hAnsi="Times New Roman" w:eastAsia="Times New Roman" w:cs="Times New Roman"/>
                <w:b w:val="0"/>
                <w:i w:val="0"/>
                <w:sz w:val="16"/>
              </w:rPr>
              <w:br/>
            </w:r>
            <w:r>
              <w:rPr>
                <w:rFonts w:ascii="Times New Roman" w:hAnsi="Times New Roman" w:eastAsia="Times New Roman" w:cs="Times New Roman"/>
                <w:b w:val="0"/>
                <w:i w:val="0"/>
                <w:sz w:val="14"/>
              </w:rPr>
              <w:t>[City, Country]</w:t>
            </w:r>
            <w:r>
              <w:rPr>
                <w:rFonts w:ascii="Times New Roman" w:hAnsi="Times New Roman" w:eastAsia="Times New Roman" w:cs="Times New Roman"/>
                <w:b w:val="0"/>
                <w:i w:val="0"/>
                <w:sz w:val="16"/>
              </w:rPr>
              <w:br/>
            </w:r>
            <w:r>
              <w:rPr>
                <w:rFonts w:ascii="Times New Roman" w:hAnsi="Times New Roman" w:eastAsia="Times New Roman" w:cs="Times New Roman"/>
                <w:b w:val="0"/>
                <w:i w:val="0"/>
                <w:sz w:val="14"/>
              </w:rPr>
              <w:t>[author4@example.com]</w:t>
            </w:r>
          </w:p>
        </w:tc>
      </w:tr>
    </w:tbl>
    <w:p>
      <w:pPr>
        <w:spacing w:after="40"/>
      </w:pPr>
    </w:p>
    <w:p>
      <w:pPr>
        <w:sectPr>
          <w:headerReference w:type="default" r:id="rId16"/>
          <w:footerReference w:type="default" r:id="rId17"/>
          <w:type w:val="continuous"/>
          <w:pgSz w:w="595.30pt" w:h="841.90pt" w:code="9"/>
          <w:pgMar w:top="540" w:right="893" w:bottom="1440" w:left="893" w:header="36pt" w:footer="36pt" w:gutter="0pt"/>
          <w:cols w:space="720" w:num="1"/>
          <w:docGrid w:linePitch="360"/>
        </w:sectPr>
      </w:pPr>
    </w:p>
    <w:p>
      <w:pPr>
        <w:pStyle w:val="Abstract"/>
        <w:spacing w:after="60"/>
      </w:pPr>
      <w:r>
        <w:rPr>
          <w:rFonts w:ascii="Times New Roman" w:hAnsi="Times New Roman" w:eastAsia="Times New Roman" w:cs="Times New Roman"/>
          <w:b/>
          <w:i/>
          <w:sz w:val="15"/>
        </w:rPr>
        <w:t>Abstract—</w:t>
      </w:r>
      <w:r>
        <w:rPr>
          <w:rFonts w:ascii="Times New Roman" w:hAnsi="Times New Roman" w:eastAsia="Times New Roman" w:cs="Times New Roman"/>
          <w:b/>
          <w:i w:val="0"/>
          <w:sz w:val="15"/>
        </w:rPr>
        <w:t>SecureLLMBench is a research-oriented framework for traceable local large language model evaluation under benign, isolated-attack, sequential-attack, and recovery conditions. It preserves versioned inputs, model settings, detector evidence, structured judge measurements, metric artifacts, and explicit failure states. This conference-format paper reports the implemented system and a local engineering trace using qwen3.5:2b as target and gemma3:4b as judge. The trace confirms execution and provenance capture, but does not provide a model-security result: responses were empty at the configured limit, some judge dimensions failed validation, and no classified attack outcomes existed.</w:t>
      </w:r>
    </w:p>
    <w:p>
      <w:pPr>
        <w:pStyle w:val="Keywords"/>
        <w:spacing w:after="80"/>
      </w:pPr>
      <w:r>
        <w:rPr>
          <w:rFonts w:ascii="Times New Roman" w:hAnsi="Times New Roman" w:eastAsia="Times New Roman" w:cs="Times New Roman"/>
          <w:b/>
          <w:i/>
          <w:sz w:val="14"/>
        </w:rPr>
        <w:t>Index Terms—</w:t>
      </w:r>
      <w:r>
        <w:rPr>
          <w:rFonts w:ascii="Times New Roman" w:hAnsi="Times New Roman" w:eastAsia="Times New Roman" w:cs="Times New Roman"/>
          <w:b/>
          <w:i/>
          <w:sz w:val="14"/>
        </w:rPr>
        <w:t>LLM security evaluation, reproducibility, local inference, benchmark provenance, behavioral measurement, scientific safeguards.</w:t>
      </w:r>
    </w:p>
    <w:p>
      <w:pPr>
        <w:pStyle w:val="BodyText"/>
        <w:spacing w:after="40" w:line="240" w:lineRule="auto"/>
        <w:ind w:firstLine="173"/>
      </w:pPr>
      <w:r>
        <w:rPr>
          <w:rFonts w:ascii="Times New Roman" w:hAnsi="Times New Roman" w:eastAsia="Times New Roman" w:cs="Times New Roman"/>
          <w:b w:val="0"/>
          <w:i w:val="0"/>
          <w:sz w:val="15"/>
        </w:rPr>
        <w:t>SecureLLMBench is a research-oriented software framework for conducting traceable evaluations of local large language models (LLMs) under benign, isolated-attack, sequential-attack, and recovery conditions. The framework persists versioned inputs, generation settings, target-model metadata, detector evidence, structured judge measurements, metric artifacts, and explicit failure states. This paper documents the implemented architecture and a local engineering trace using qwen3.5:2b as target and gemma3:4b as judge. The trace confirms end-to-end execution and provenance capture, but it is not an empirical security result: target responses were empty at the configured generation limit, some judge dimensions failed validation, and attack-success labels were absent. The contribution is therefore a reproducible measurement and governance substrate, not a claim that a model is secure or that any proposed metric is validated.</w:t>
      </w:r>
    </w:p>
    <w:p>
      <w:pPr>
        <w:pStyle w:val="Heading1"/>
        <w:keepNext/>
        <w:spacing w:before="80" w:after="40"/>
        <w:jc w:val="center"/>
      </w:pPr>
      <w:r>
        <w:rPr>
          <w:rFonts w:ascii="Times New Roman" w:hAnsi="Times New Roman" w:eastAsia="Times New Roman" w:cs="Times New Roman"/>
          <w:b/>
          <w:i w:val="0"/>
          <w:sz w:val="18"/>
        </w:rPr>
        <w:t>I. INTRODUCTION</w:t>
      </w:r>
    </w:p>
    <w:p>
      <w:pPr>
        <w:pStyle w:val="BodyText"/>
        <w:spacing w:after="40" w:line="240" w:lineRule="auto"/>
        <w:ind w:firstLine="173"/>
      </w:pPr>
      <w:r>
        <w:rPr>
          <w:rFonts w:ascii="Times New Roman" w:hAnsi="Times New Roman" w:eastAsia="Times New Roman" w:cs="Times New Roman"/>
          <w:b w:val="0"/>
          <w:i w:val="0"/>
          <w:sz w:val="15"/>
        </w:rPr>
        <w:t>Benchmark studies often fail to preserve the distinction between an observed signal, a measurement, and a validated outcome. This distinction is particularly important for prompt-injection and refusal evaluations because a detector can react to a pattern that is unrelated to an actual safety failure, while an evaluator model can produce a plausible label without being calibrated to a reference population. SecureLLMBench treats these as different data types and records them independently.</w:t>
      </w:r>
    </w:p>
    <w:p>
      <w:pPr>
        <w:pStyle w:val="BodyText"/>
        <w:spacing w:after="40" w:line="240" w:lineRule="auto"/>
        <w:ind w:firstLine="173"/>
      </w:pPr>
      <w:r>
        <w:rPr>
          <w:rFonts w:ascii="Times New Roman" w:hAnsi="Times New Roman" w:eastAsia="Times New Roman" w:cs="Times New Roman"/>
          <w:b w:val="0"/>
          <w:i w:val="0"/>
          <w:sz w:val="15"/>
        </w:rPr>
        <w:t>The implementation is organized around a reproducibility question: can an evaluator reconstruct what was shown to a model, how it was generated, which instruments examined the response, and why a later calculation is absent? The answer is represented as structured provenance rather than narrative logging alone. This makes a dashboard card, an API response, and a JSON trace views of the same auditable record.</w:t>
      </w:r>
    </w:p>
    <w:p>
      <w:pPr>
        <w:pStyle w:val="BodyText"/>
        <w:spacing w:after="40" w:line="240" w:lineRule="auto"/>
        <w:ind w:firstLine="173"/>
      </w:pPr>
      <w:r>
        <w:rPr>
          <w:rFonts w:ascii="Times New Roman" w:hAnsi="Times New Roman" w:eastAsia="Times New Roman" w:cs="Times New Roman"/>
          <w:b w:val="0"/>
          <w:i w:val="0"/>
          <w:sz w:val="15"/>
        </w:rPr>
        <w:t>The evaluated unit is a configuration, not only a model name. A configuration includes the model and provider identity, version or digest when available, temperature, token budget, seed, prompt protocol, dataset version, detector configuration, judge prompt and rubric versions, and execution context. Comparisons are valid only when the relevant configuration fields and the benchmark population are compatible. The platform therefore stores absence explicitly when a provider cannot supply a field.</w:t>
      </w:r>
    </w:p>
    <w:p>
      <w:pPr>
        <w:pStyle w:val="BodyText"/>
        <w:spacing w:after="40" w:line="240" w:lineRule="auto"/>
        <w:ind w:firstLine="173"/>
      </w:pPr>
      <w:r>
        <w:rPr>
          <w:rFonts w:ascii="Times New Roman" w:hAnsi="Times New Roman" w:eastAsia="Times New Roman" w:cs="Times New Roman"/>
          <w:b w:val="0"/>
          <w:i w:val="0"/>
          <w:sz w:val="15"/>
        </w:rPr>
        <w:t>Security evaluation for LLMs requires more than a prompt and a score. A defensible result must identify the benchmark population, model version, generation settings, prompt sequence, measurements, evaluator behavior, and all unavailable prerequisites. SecureLLMBench addresses this engineering requirement by treating an evaluation as an auditable trace rather than as an opaque number. It connects dataset ingestion, local inference, Layer 1 detector evidence, Layer 2 structured judging, behavioral metrics, persistent records, a FastAPI backend, and a research dashboard.</w:t>
      </w:r>
    </w:p>
    <w:p>
      <w:pPr>
        <w:pStyle w:val="BodyText"/>
        <w:spacing w:after="40" w:line="240" w:lineRule="auto"/>
        <w:ind w:firstLine="173"/>
      </w:pPr>
      <w:r>
        <w:rPr>
          <w:rFonts w:ascii="Times New Roman" w:hAnsi="Times New Roman" w:eastAsia="Times New Roman" w:cs="Times New Roman"/>
          <w:b w:val="0"/>
          <w:i w:val="0"/>
          <w:sz w:val="15"/>
        </w:rPr>
        <w:t>The central design choice is semantic restraint. Layer 1 outputs are detector-native evidence rather than attack-success truth. Layer 2 outputs are structured measurements rather than calibrated probabilities. Missing, failed, uncalibrated, undefined, and not-applicable values remain distinct values in storage and in the dashboard. This prevents a user interface or downstream report from implying that a missing measurement is evidence of zero risk.</w:t>
      </w:r>
    </w:p>
    <w:p>
      <w:pPr>
        <w:pStyle w:val="Heading2"/>
        <w:keepNext/>
        <w:spacing w:before="40" w:after="40"/>
        <w:jc w:val="left"/>
      </w:pPr>
      <w:r>
        <w:rPr>
          <w:rFonts w:ascii="Times New Roman" w:hAnsi="Times New Roman" w:eastAsia="Times New Roman" w:cs="Times New Roman"/>
          <w:b/>
          <w:i w:val="0"/>
          <w:sz w:val="16"/>
        </w:rPr>
        <w:t>A. Contributions</w:t>
      </w:r>
    </w:p>
    <w:p>
      <w:pPr>
        <w:pStyle w:val="BodyText"/>
        <w:spacing w:after="40" w:line="240" w:lineRule="auto"/>
        <w:ind w:firstLine="173"/>
      </w:pPr>
      <w:r>
        <w:rPr>
          <w:rFonts w:ascii="Times New Roman" w:hAnsi="Times New Roman" w:eastAsia="Times New Roman" w:cs="Times New Roman"/>
          <w:b w:val="0"/>
          <w:i w:val="0"/>
          <w:sz w:val="15"/>
        </w:rPr>
        <w:t>First, the framework implements an end-to-end local evaluation trace with database persistence, read-only API endpoints, and dashboard exploration. Second, it implements four-component BSDA computation, Recovery Capability (RC), and Sequential Attack Evaluation Algorithm (SAEA) runtimes with explicit applicability contracts. Third, it preserves DRAA and PRI as uncalibrated evidence profiles, deliberately withholding scalar risk and model-ranking values. Fourth, it provides reproducibility artifacts, safety tests, and explicit research blockers.</w:t>
      </w:r>
    </w:p>
    <w:p>
      <w:pPr>
        <w:pStyle w:val="Heading2"/>
        <w:keepNext/>
        <w:spacing w:before="40" w:after="40"/>
        <w:jc w:val="left"/>
      </w:pPr>
      <w:r>
        <w:rPr>
          <w:rFonts w:ascii="Times New Roman" w:hAnsi="Times New Roman" w:eastAsia="Times New Roman" w:cs="Times New Roman"/>
          <w:b/>
          <w:i w:val="0"/>
          <w:sz w:val="16"/>
        </w:rPr>
        <w:t>B. Scope of This Paper</w:t>
      </w:r>
    </w:p>
    <w:p>
      <w:pPr>
        <w:pStyle w:val="BodyText"/>
        <w:spacing w:after="40" w:line="240" w:lineRule="auto"/>
        <w:ind w:firstLine="173"/>
      </w:pPr>
      <w:r>
        <w:rPr>
          <w:rFonts w:ascii="Times New Roman" w:hAnsi="Times New Roman" w:eastAsia="Times New Roman" w:cs="Times New Roman"/>
          <w:b w:val="0"/>
          <w:i w:val="0"/>
          <w:sz w:val="15"/>
        </w:rPr>
        <w:t>This paper is an implementation and trace report. It does not present a broad benchmark comparison, validated attack success rate (ASR), calibration study, or model ranking. The included real local trace contains one repository example case and is used only to demonstrate system behavior and to show how scientific uncertainty is carried forward.</w:t>
      </w:r>
    </w:p>
    <w:p>
      <w:pPr>
        <w:pStyle w:val="BodyText"/>
        <w:spacing w:after="40" w:line="240" w:lineRule="auto"/>
        <w:ind w:firstLine="173"/>
      </w:pPr>
      <w:r>
        <w:rPr>
          <w:rFonts w:ascii="Times New Roman" w:hAnsi="Times New Roman" w:eastAsia="Times New Roman" w:cs="Times New Roman"/>
          <w:b w:val="0"/>
          <w:i w:val="0"/>
          <w:sz w:val="15"/>
        </w:rPr>
        <w:t>The implemented contributions are as follows:</w:t>
      </w:r>
    </w:p>
    <w:p>
      <w:pPr>
        <w:pStyle w:val="bulletlist"/>
        <w:spacing w:after="40"/>
        <w:ind w:left="230" w:hanging="144"/>
      </w:pPr>
      <w:r>
        <w:rPr>
          <w:rFonts w:ascii="Times New Roman" w:hAnsi="Times New Roman" w:eastAsia="Times New Roman" w:cs="Times New Roman"/>
          <w:b w:val="0"/>
          <w:i w:val="0"/>
          <w:sz w:val="15"/>
        </w:rPr>
        <w:t>A traceable evaluation workflow that binds dataset identity, model identity, generation configuration, staged prompts, responses, and measurement metadata into one auditable record.</w:t>
      </w:r>
    </w:p>
    <w:p>
      <w:pPr>
        <w:pStyle w:val="bulletlist"/>
        <w:spacing w:after="40"/>
        <w:ind w:left="230" w:hanging="144"/>
      </w:pPr>
      <w:r>
        <w:rPr>
          <w:rFonts w:ascii="Times New Roman" w:hAnsi="Times New Roman" w:eastAsia="Times New Roman" w:cs="Times New Roman"/>
          <w:b w:val="0"/>
          <w:i w:val="0"/>
          <w:sz w:val="15"/>
        </w:rPr>
        <w:t>A local execution path for already-installed models, with deterministic mock providers for software testing and local Ollama providers for target and judge execution.</w:t>
      </w:r>
    </w:p>
    <w:p>
      <w:pPr>
        <w:pStyle w:val="bulletlist"/>
        <w:spacing w:after="40"/>
        <w:ind w:left="230" w:hanging="144"/>
      </w:pPr>
      <w:r>
        <w:rPr>
          <w:rFonts w:ascii="Times New Roman" w:hAnsi="Times New Roman" w:eastAsia="Times New Roman" w:cs="Times New Roman"/>
          <w:b w:val="0"/>
          <w:i w:val="0"/>
          <w:sz w:val="15"/>
        </w:rPr>
        <w:t>Typed measurement and metric runtimes for Layer 1 evidence, Layer 2 structured judging, BSDA components, Recovery Capability, and sequential evaluation, each with explicit applicability semantics.</w:t>
      </w:r>
    </w:p>
    <w:p>
      <w:pPr>
        <w:pStyle w:val="bulletlist"/>
        <w:spacing w:after="40"/>
        <w:ind w:left="230" w:hanging="144"/>
      </w:pPr>
      <w:r>
        <w:rPr>
          <w:rFonts w:ascii="Times New Roman" w:hAnsi="Times New Roman" w:eastAsia="Times New Roman" w:cs="Times New Roman"/>
          <w:b w:val="0"/>
          <w:i w:val="0"/>
          <w:sz w:val="15"/>
        </w:rPr>
        <w:t>Safe persistence, read-only APIs, and a research dashboard that preserves unavailable, failed, undefined, uncalibrated, and empty states instead of converting them into scores.</w:t>
      </w:r>
    </w:p>
    <w:p>
      <w:pPr>
        <w:pStyle w:val="bulletlist"/>
        <w:spacing w:after="40"/>
        <w:ind w:left="230" w:hanging="144"/>
      </w:pPr>
      <w:r>
        <w:rPr>
          <w:rFonts w:ascii="Times New Roman" w:hAnsi="Times New Roman" w:eastAsia="Times New Roman" w:cs="Times New Roman"/>
          <w:b w:val="0"/>
          <w:i w:val="0"/>
          <w:sz w:val="15"/>
        </w:rPr>
        <w:t>A reproducibility scaffold with fixture and local traces, analysis scripts, unit tests, API smoke checks, and frontend verification, while retaining blockers for claims that require labels, calibration, or human validation.</w:t>
      </w:r>
    </w:p>
    <w:p>
      <w:r>
        <w:rPr>
          <w:rFonts w:ascii="Times New Roman" w:hAnsi="Times New Roman" w:eastAsia="Times New Roman" w:cs="Times New Roman"/>
          <w:b w:val="0"/>
          <w:i w:val="0"/>
          <w:sz w:val="16"/>
        </w:rPr>
        <w:br w:type="page"/>
      </w:r>
    </w:p>
    <w:p>
      <w:pPr>
        <w:pStyle w:val="Heading1"/>
        <w:keepNext/>
        <w:spacing w:before="80" w:after="40"/>
        <w:jc w:val="center"/>
      </w:pPr>
      <w:r>
        <w:rPr>
          <w:rFonts w:ascii="Times New Roman" w:hAnsi="Times New Roman" w:eastAsia="Times New Roman" w:cs="Times New Roman"/>
          <w:b/>
          <w:i w:val="0"/>
          <w:sz w:val="18"/>
        </w:rPr>
        <w:t>II. RELATED WORK AND DESIGN POSITION</w:t>
      </w:r>
    </w:p>
    <w:p>
      <w:pPr>
        <w:pStyle w:val="BodyText"/>
        <w:spacing w:after="40" w:line="240" w:lineRule="auto"/>
        <w:ind w:firstLine="173"/>
      </w:pPr>
      <w:r>
        <w:rPr>
          <w:rFonts w:ascii="Times New Roman" w:hAnsi="Times New Roman" w:eastAsia="Times New Roman" w:cs="Times New Roman"/>
          <w:b w:val="0"/>
          <w:i w:val="0"/>
          <w:sz w:val="15"/>
        </w:rPr>
        <w:t>SecureLLMBench is positioned as an evaluation substrate rather than a replacement for a benchmark corpus, a red-teaming protocol, or a calibrated risk predictor. Its purpose is to make an evaluation outcome reviewable across the path from a versioned prompt to a rendered dashboard record. The framework therefore keeps data collection, inference, detection, judging, metric computation, storage, and presentation as separate layers with explicit contracts.</w:t>
      </w:r>
    </w:p>
    <w:p>
      <w:pPr>
        <w:pStyle w:val="BodyText"/>
        <w:spacing w:after="40" w:line="240" w:lineRule="auto"/>
        <w:ind w:firstLine="173"/>
      </w:pPr>
      <w:r>
        <w:rPr>
          <w:rFonts w:ascii="Times New Roman" w:hAnsi="Times New Roman" w:eastAsia="Times New Roman" w:cs="Times New Roman"/>
          <w:b w:val="0"/>
          <w:i w:val="0"/>
          <w:sz w:val="15"/>
        </w:rPr>
        <w:t>Benchmark execution and security detection solve different engineering problems. A benchmark runner needs a stable case identity, provider configuration, and reproducible generation settings. A detector emits evidence under its own rule set. A judge emits a rubric-governed measurement. Treating the three as the same construct creates false certainty, especially when a model response is absent or an evaluator fails. The design maintains their distinct provenance and semantic status.</w:t>
      </w:r>
    </w:p>
    <w:p>
      <w:pPr>
        <w:pStyle w:val="BodyText"/>
        <w:spacing w:after="40" w:line="240" w:lineRule="auto"/>
        <w:ind w:firstLine="173"/>
      </w:pPr>
      <w:r>
        <w:rPr>
          <w:rFonts w:ascii="Times New Roman" w:hAnsi="Times New Roman" w:eastAsia="Times New Roman" w:cs="Times New Roman"/>
          <w:b w:val="0"/>
          <w:i w:val="0"/>
          <w:sz w:val="15"/>
        </w:rPr>
        <w:t>The metric layer is similarly profile-first. BSDA preserves semantic, safety, instruction, and structural components. RC preserves a behavioral trajectory and calibration dependency. SAEA preserves ordered deviations and matched-control diagnostics. DRAA and PRI preserve evidence profiles while withholding scalar outputs. This design position avoids creating a cross-metric score before an approved estimand, reference population, calibration artifact, and validation plan exist.</w:t>
      </w:r>
    </w:p>
    <w:p>
      <w:pPr>
        <w:pStyle w:val="BodyText"/>
        <w:spacing w:after="40" w:line="240" w:lineRule="auto"/>
        <w:ind w:firstLine="173"/>
      </w:pPr>
      <w:r>
        <w:rPr>
          <w:rFonts w:ascii="Times New Roman" w:hAnsi="Times New Roman" w:eastAsia="Times New Roman" w:cs="Times New Roman"/>
          <w:b w:val="0"/>
          <w:i w:val="0"/>
          <w:sz w:val="15"/>
        </w:rPr>
        <w:t>The dashboard is part of the evaluation system rather than a separate reporting surface. It reads persisted entities and shows counts, records, status reasons, and provenance. A user can therefore distinguish a model with no persisted Layer 2 result from a model with a low Layer 2 measurement, and a metric blocked by calibration from a metric computed under an approved contract.</w:t>
      </w:r>
    </w:p>
    <w:p>
      <w:pPr>
        <w:pStyle w:val="Heading1"/>
        <w:keepNext/>
        <w:spacing w:before="80" w:after="40"/>
        <w:jc w:val="center"/>
      </w:pPr>
      <w:r>
        <w:rPr>
          <w:rFonts w:ascii="Times New Roman" w:hAnsi="Times New Roman" w:eastAsia="Times New Roman" w:cs="Times New Roman"/>
          <w:b/>
          <w:i w:val="0"/>
          <w:sz w:val="18"/>
        </w:rPr>
        <w:t>III. SYSTEM AND EVALUATION MODEL</w:t>
      </w:r>
    </w:p>
    <w:p>
      <w:pPr>
        <w:pStyle w:val="BodyText"/>
        <w:spacing w:after="40" w:line="240" w:lineRule="auto"/>
        <w:ind w:firstLine="173"/>
      </w:pPr>
      <w:r>
        <w:rPr>
          <w:rFonts w:ascii="Times New Roman" w:hAnsi="Times New Roman" w:eastAsia="Times New Roman" w:cs="Times New Roman"/>
          <w:b w:val="0"/>
          <w:i w:val="0"/>
          <w:sz w:val="15"/>
        </w:rPr>
        <w:t>The architecture separates collection, execution, measurement, analysis, and presentation. This separation prevents an operational failure in one layer from silently changing the meaning of a later layer. For example, a failed judge request remains a failed measurement record; it cannot become a low safety score merely because a scalar visualization expects a number. The same rule applies to unavailable embeddings, incomplete recovery trajectories, and missing outcome labels.</w:t>
      </w:r>
    </w:p>
    <w:p>
      <w:pPr>
        <w:pStyle w:val="BodyText"/>
        <w:spacing w:after="40" w:line="240" w:lineRule="auto"/>
        <w:ind w:firstLine="173"/>
      </w:pPr>
      <w:r>
        <w:rPr>
          <w:rFonts w:ascii="Times New Roman" w:hAnsi="Times New Roman" w:eastAsia="Times New Roman" w:cs="Times New Roman"/>
          <w:b w:val="0"/>
          <w:i w:val="0"/>
          <w:sz w:val="15"/>
        </w:rPr>
        <w:t>The persisted local workspace demonstrates the implementation surface: one dataset and one dataset version, two model configurations, four benchmark runs, twelve evaluations, thirty-six Layer 1 results, twenty-five scientific records, and two provenance-bearing model-score records. It contains zero persisted Layer 2 rows and zero scientific-review rows. These counts describe database coverage at the time of the trace; a zero row count is not a score or a finding.</w:t>
      </w:r>
    </w:p>
    <w:p>
      <w:pPr>
        <w:pStyle w:val="BodyText"/>
        <w:spacing w:after="40" w:line="240" w:lineRule="auto"/>
        <w:ind w:firstLine="173"/>
      </w:pPr>
      <w:r>
        <w:rPr>
          <w:rFonts w:ascii="Times New Roman" w:hAnsi="Times New Roman" w:eastAsia="Times New Roman" w:cs="Times New Roman"/>
          <w:b w:val="0"/>
          <w:i w:val="0"/>
          <w:sz w:val="15"/>
        </w:rPr>
        <w:t>Figure 1 summarizes the evaluation flow. A case begins with a versioned dataset record and a captured generation configuration. A provider produces a response together with timing and model identity. Layer 1 detectors provide rule, keyword, and pattern evidence. Layer 2 produces dimension-specific structured judgments. The framework maps compatible judgments into behavioral states, computes metric artifacts, and persists both values and their provenance for dashboard and API consumption.</w:t>
      </w:r>
    </w:p>
    <w:p>
      <w:pPr>
        <w:keepNext/>
        <w:spacing w:before="100" w:after="20"/>
        <w:jc w:val="center"/>
      </w:pPr>
      <w:r>
        <w:rPr>
          <w:rFonts w:ascii="Times New Roman" w:hAnsi="Times New Roman" w:eastAsia="Times New Roman" w:cs="Times New Roman"/>
          <w:b w:val="0"/>
          <w:i w:val="0"/>
          <w:sz w:val="16"/>
        </w:rPr>
        <w:drawing>
          <wp:inline xmlns:a="http://schemas.openxmlformats.org/drawingml/2006/main" xmlns:pic="http://schemas.openxmlformats.org/drawingml/2006/picture">
            <wp:extent cx="2907792" cy="1473281"/>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2907792" cy="1473281"/>
                    </a:xfrm>
                    <a:prstGeom prst="rect"/>
                  </pic:spPr>
                </pic:pic>
              </a:graphicData>
            </a:graphic>
          </wp:inline>
        </w:drawing>
      </w:r>
    </w:p>
    <w:p>
      <w:pPr>
        <w:pStyle w:val="figurecaption"/>
        <w:keepLines/>
        <w:spacing w:before="40" w:after="100"/>
        <w:jc w:val="center"/>
      </w:pPr>
      <w:r>
        <w:rPr>
          <w:rFonts w:ascii="Times New Roman" w:hAnsi="Times New Roman" w:eastAsia="Times New Roman" w:cs="Times New Roman"/>
          <w:b w:val="0"/>
          <w:i/>
          <w:sz w:val="14"/>
        </w:rPr>
        <w:t>Fig. 1. Traceable evaluation flow. Data and state move forward with configuration, provenance, and explicit availability semantics.</w:t>
      </w:r>
    </w:p>
    <w:p>
      <w:pPr>
        <w:pStyle w:val="Heading2"/>
        <w:keepNext/>
        <w:spacing w:before="40" w:after="40"/>
        <w:jc w:val="left"/>
      </w:pPr>
      <w:r>
        <w:rPr>
          <w:rFonts w:ascii="Times New Roman" w:hAnsi="Times New Roman" w:eastAsia="Times New Roman" w:cs="Times New Roman"/>
          <w:b/>
          <w:i w:val="0"/>
          <w:sz w:val="16"/>
        </w:rPr>
        <w:t>A. Data and Execution Contracts</w:t>
      </w:r>
    </w:p>
    <w:p>
      <w:pPr>
        <w:pStyle w:val="BodyText"/>
        <w:spacing w:after="40" w:line="240" w:lineRule="auto"/>
        <w:ind w:firstLine="173"/>
      </w:pPr>
      <w:r>
        <w:rPr>
          <w:rFonts w:ascii="Times New Roman" w:hAnsi="Times New Roman" w:eastAsia="Times New Roman" w:cs="Times New Roman"/>
          <w:b w:val="0"/>
          <w:i w:val="0"/>
          <w:sz w:val="15"/>
        </w:rPr>
        <w:t>Dataset ingestion accepts JSON, JSONL, and CSV records and captures normalization and version metadata before the evaluation sequence begins. The execution contract supports deterministic mock providers for repeatable unit tests and local Ollama providers for installed target models. Local operation avoids automatic model download and records generation controls such as temperature, seed, token limit, timeout, finish reason, and provider metadata. These fields define the evaluated configuration rather than being optional dashboard decoration.</w:t>
      </w:r>
    </w:p>
    <w:p>
      <w:pPr>
        <w:pStyle w:val="BodyText"/>
        <w:spacing w:after="40" w:line="240" w:lineRule="auto"/>
        <w:ind w:firstLine="173"/>
      </w:pPr>
      <w:r>
        <w:rPr>
          <w:rFonts w:ascii="Times New Roman" w:hAnsi="Times New Roman" w:eastAsia="Times New Roman" w:cs="Times New Roman"/>
          <w:b w:val="0"/>
          <w:i w:val="0"/>
          <w:sz w:val="15"/>
        </w:rPr>
        <w:t>A run is represented as an ordered protocol rather than a single request. The current paper runner records a baseline task, an isolated attack, an ordered attack sequence, and a recovery prompt. Each stage has a distinct evaluation identifier and response record. The trace also retains the input prompt text and response metadata, so a reviewer can determine whether a later metric consumed a complete response, a timeout, a refusal, a length-limited output, or an unavailable provider result.</w:t>
      </w:r>
    </w:p>
    <w:p>
      <w:pPr>
        <w:pStyle w:val="BodyText"/>
        <w:spacing w:after="40" w:line="240" w:lineRule="auto"/>
        <w:ind w:firstLine="173"/>
      </w:pPr>
      <w:r>
        <w:rPr>
          <w:rFonts w:ascii="Times New Roman" w:hAnsi="Times New Roman" w:eastAsia="Times New Roman" w:cs="Times New Roman"/>
          <w:b w:val="0"/>
          <w:i w:val="0"/>
          <w:sz w:val="15"/>
        </w:rPr>
        <w:t>The data layer ingests JSON, JSONL, and CSV sources and computes a dataset hash before analysis. The execution layer supports deterministic mock inference for software tests and local Ollama inference for already-installed models. No experiment command downloads a model. Each provider result stores model/provider metadata, latency, finish reason, generation settings, and raw response metadata so that a later reviewer can distinguish a successful response from a length-limited or failed output.</w:t>
      </w:r>
    </w:p>
    <w:p>
      <w:pPr>
        <w:pStyle w:val="figurecaption"/>
        <w:keepLines/>
        <w:spacing w:before="40" w:after="100"/>
        <w:jc w:val="center"/>
      </w:pPr>
      <w:r>
        <w:rPr>
          <w:rFonts w:ascii="Times New Roman" w:hAnsi="Times New Roman" w:eastAsia="Times New Roman" w:cs="Times New Roman"/>
          <w:b w:val="0"/>
          <w:i/>
          <w:sz w:val="14"/>
        </w:rPr>
        <w:t>TABLE I. Core trace artifacts and their audit purpose.</w:t>
      </w:r>
    </w:p>
    <w:tbl>
      <w:tblPr>
        <w:tblW w:type="auto" w:w="0"/>
        <w:tblLayout w:type="fixed"/>
        <w:tblLook w:firstColumn="1" w:firstRow="1" w:lastColumn="0" w:lastRow="0" w:noHBand="0" w:noVBand="1" w:val="04A0"/>
      </w:tblPr>
      <w:tblGrid>
        <w:gridCol w:w="3373"/>
        <w:gridCol w:w="3373"/>
        <w:gridCol w:w="3373"/>
      </w:tblGrid>
      <w:tr>
        <w:tc>
          <w:tcPr>
            <w:tcW w:type="dxa" w:w="1478"/>
            <w:vAlign w:val="center"/>
          </w:tcPr>
          <w:p>
            <w:pPr>
              <w:pStyle w:val="tablecolhead"/>
              <w:jc w:val="center"/>
            </w:pPr>
            <w:r>
              <w:rPr>
                <w:rFonts w:ascii="Times New Roman" w:hAnsi="Times New Roman" w:eastAsia="Times New Roman" w:cs="Times New Roman"/>
                <w:b/>
                <w:i w:val="0"/>
                <w:sz w:val="12"/>
              </w:rPr>
              <w:t>Artifact</w:t>
            </w:r>
          </w:p>
        </w:tc>
        <w:tc>
          <w:tcPr>
            <w:tcW w:type="dxa" w:w="1478"/>
            <w:vAlign w:val="center"/>
          </w:tcPr>
          <w:p>
            <w:pPr>
              <w:pStyle w:val="tablecolhead"/>
              <w:jc w:val="center"/>
            </w:pPr>
            <w:r>
              <w:rPr>
                <w:rFonts w:ascii="Times New Roman" w:hAnsi="Times New Roman" w:eastAsia="Times New Roman" w:cs="Times New Roman"/>
                <w:b/>
                <w:i w:val="0"/>
                <w:sz w:val="12"/>
              </w:rPr>
              <w:t>Captured fields</w:t>
            </w:r>
          </w:p>
        </w:tc>
        <w:tc>
          <w:tcPr>
            <w:tcW w:type="dxa" w:w="1478"/>
            <w:vAlign w:val="center"/>
          </w:tcPr>
          <w:p>
            <w:pPr>
              <w:pStyle w:val="tablecolhead"/>
              <w:jc w:val="center"/>
            </w:pPr>
            <w:r>
              <w:rPr>
                <w:rFonts w:ascii="Times New Roman" w:hAnsi="Times New Roman" w:eastAsia="Times New Roman" w:cs="Times New Roman"/>
                <w:b/>
                <w:i w:val="0"/>
                <w:sz w:val="12"/>
              </w:rPr>
              <w:t>Reason</w:t>
            </w:r>
          </w:p>
        </w:tc>
      </w:tr>
      <w:tr>
        <w:tc>
          <w:tcPr>
            <w:tcW w:type="dxa" w:w="1478"/>
            <w:vAlign w:val="center"/>
          </w:tcPr>
          <w:p>
            <w:pPr>
              <w:pStyle w:val="tablecopy"/>
              <w:jc w:val="left"/>
            </w:pPr>
            <w:r>
              <w:rPr>
                <w:rFonts w:ascii="Times New Roman" w:hAnsi="Times New Roman" w:eastAsia="Times New Roman" w:cs="Times New Roman"/>
                <w:b w:val="0"/>
                <w:i w:val="0"/>
                <w:sz w:val="12"/>
              </w:rPr>
              <w:t>Dataset version</w:t>
            </w:r>
          </w:p>
        </w:tc>
        <w:tc>
          <w:tcPr>
            <w:tcW w:type="dxa" w:w="1478"/>
            <w:vAlign w:val="center"/>
          </w:tcPr>
          <w:p>
            <w:pPr>
              <w:pStyle w:val="tablecopy"/>
              <w:jc w:val="left"/>
            </w:pPr>
            <w:r>
              <w:rPr>
                <w:rFonts w:ascii="Times New Roman" w:hAnsi="Times New Roman" w:eastAsia="Times New Roman" w:cs="Times New Roman"/>
                <w:b w:val="0"/>
                <w:i w:val="0"/>
                <w:sz w:val="12"/>
              </w:rPr>
              <w:t>Path, hash, case id, taxonomy</w:t>
            </w:r>
          </w:p>
        </w:tc>
        <w:tc>
          <w:tcPr>
            <w:tcW w:type="dxa" w:w="1478"/>
            <w:vAlign w:val="center"/>
          </w:tcPr>
          <w:p>
            <w:pPr>
              <w:pStyle w:val="tablecopy"/>
              <w:jc w:val="left"/>
            </w:pPr>
            <w:r>
              <w:rPr>
                <w:rFonts w:ascii="Times New Roman" w:hAnsi="Times New Roman" w:eastAsia="Times New Roman" w:cs="Times New Roman"/>
                <w:b w:val="0"/>
                <w:i w:val="0"/>
                <w:sz w:val="12"/>
              </w:rPr>
              <w:t>Recreates the evaluated population</w:t>
            </w:r>
          </w:p>
        </w:tc>
      </w:tr>
      <w:tr>
        <w:tc>
          <w:tcPr>
            <w:tcW w:type="dxa" w:w="1478"/>
            <w:vAlign w:val="center"/>
          </w:tcPr>
          <w:p>
            <w:pPr>
              <w:pStyle w:val="tablecopy"/>
              <w:jc w:val="left"/>
            </w:pPr>
            <w:r>
              <w:rPr>
                <w:rFonts w:ascii="Times New Roman" w:hAnsi="Times New Roman" w:eastAsia="Times New Roman" w:cs="Times New Roman"/>
                <w:b w:val="0"/>
                <w:i w:val="0"/>
                <w:sz w:val="12"/>
              </w:rPr>
              <w:t>Model execution</w:t>
            </w:r>
          </w:p>
        </w:tc>
        <w:tc>
          <w:tcPr>
            <w:tcW w:type="dxa" w:w="1478"/>
            <w:vAlign w:val="center"/>
          </w:tcPr>
          <w:p>
            <w:pPr>
              <w:pStyle w:val="tablecopy"/>
              <w:jc w:val="left"/>
            </w:pPr>
            <w:r>
              <w:rPr>
                <w:rFonts w:ascii="Times New Roman" w:hAnsi="Times New Roman" w:eastAsia="Times New Roman" w:cs="Times New Roman"/>
                <w:b w:val="0"/>
                <w:i w:val="0"/>
                <w:sz w:val="12"/>
              </w:rPr>
              <w:t>Model digest, seed, temperature, token limit, latency</w:t>
            </w:r>
          </w:p>
        </w:tc>
        <w:tc>
          <w:tcPr>
            <w:tcW w:type="dxa" w:w="1478"/>
            <w:vAlign w:val="center"/>
          </w:tcPr>
          <w:p>
            <w:pPr>
              <w:pStyle w:val="tablecopy"/>
              <w:jc w:val="left"/>
            </w:pPr>
            <w:r>
              <w:rPr>
                <w:rFonts w:ascii="Times New Roman" w:hAnsi="Times New Roman" w:eastAsia="Times New Roman" w:cs="Times New Roman"/>
                <w:b w:val="0"/>
                <w:i w:val="0"/>
                <w:sz w:val="12"/>
              </w:rPr>
              <w:t>Supports configuration-level comparison</w:t>
            </w:r>
          </w:p>
        </w:tc>
      </w:tr>
      <w:tr>
        <w:tc>
          <w:tcPr>
            <w:tcW w:type="dxa" w:w="1478"/>
            <w:vAlign w:val="center"/>
          </w:tcPr>
          <w:p>
            <w:pPr>
              <w:pStyle w:val="tablecopy"/>
              <w:jc w:val="left"/>
            </w:pPr>
            <w:r>
              <w:rPr>
                <w:rFonts w:ascii="Times New Roman" w:hAnsi="Times New Roman" w:eastAsia="Times New Roman" w:cs="Times New Roman"/>
                <w:b w:val="0"/>
                <w:i w:val="0"/>
                <w:sz w:val="12"/>
              </w:rPr>
              <w:t>Layer 1</w:t>
            </w:r>
          </w:p>
        </w:tc>
        <w:tc>
          <w:tcPr>
            <w:tcW w:type="dxa" w:w="1478"/>
            <w:vAlign w:val="center"/>
          </w:tcPr>
          <w:p>
            <w:pPr>
              <w:pStyle w:val="tablecopy"/>
              <w:jc w:val="left"/>
            </w:pPr>
            <w:r>
              <w:rPr>
                <w:rFonts w:ascii="Times New Roman" w:hAnsi="Times New Roman" w:eastAsia="Times New Roman" w:cs="Times New Roman"/>
                <w:b w:val="0"/>
                <w:i w:val="0"/>
                <w:sz w:val="12"/>
              </w:rPr>
              <w:t>Detector score, evidence, rule metadata</w:t>
            </w:r>
          </w:p>
        </w:tc>
        <w:tc>
          <w:tcPr>
            <w:tcW w:type="dxa" w:w="1478"/>
            <w:vAlign w:val="center"/>
          </w:tcPr>
          <w:p>
            <w:pPr>
              <w:pStyle w:val="tablecopy"/>
              <w:jc w:val="left"/>
            </w:pPr>
            <w:r>
              <w:rPr>
                <w:rFonts w:ascii="Times New Roman" w:hAnsi="Times New Roman" w:eastAsia="Times New Roman" w:cs="Times New Roman"/>
                <w:b w:val="0"/>
                <w:i w:val="0"/>
                <w:sz w:val="12"/>
              </w:rPr>
              <w:t>Preserves detector-native semantics</w:t>
            </w:r>
          </w:p>
        </w:tc>
      </w:tr>
      <w:tr>
        <w:tc>
          <w:tcPr>
            <w:tcW w:type="dxa" w:w="1478"/>
            <w:vAlign w:val="center"/>
          </w:tcPr>
          <w:p>
            <w:pPr>
              <w:pStyle w:val="tablecopy"/>
              <w:jc w:val="left"/>
            </w:pPr>
            <w:r>
              <w:rPr>
                <w:rFonts w:ascii="Times New Roman" w:hAnsi="Times New Roman" w:eastAsia="Times New Roman" w:cs="Times New Roman"/>
                <w:b w:val="0"/>
                <w:i w:val="0"/>
                <w:sz w:val="12"/>
              </w:rPr>
              <w:t>Layer 2</w:t>
            </w:r>
          </w:p>
        </w:tc>
        <w:tc>
          <w:tcPr>
            <w:tcW w:type="dxa" w:w="1478"/>
            <w:vAlign w:val="center"/>
          </w:tcPr>
          <w:p>
            <w:pPr>
              <w:pStyle w:val="tablecopy"/>
              <w:jc w:val="left"/>
            </w:pPr>
            <w:r>
              <w:rPr>
                <w:rFonts w:ascii="Times New Roman" w:hAnsi="Times New Roman" w:eastAsia="Times New Roman" w:cs="Times New Roman"/>
                <w:b w:val="0"/>
                <w:i w:val="0"/>
                <w:sz w:val="12"/>
              </w:rPr>
              <w:t>Dimension, rubric/prompt versions, status, confidence</w:t>
            </w:r>
          </w:p>
        </w:tc>
        <w:tc>
          <w:tcPr>
            <w:tcW w:type="dxa" w:w="1478"/>
            <w:vAlign w:val="center"/>
          </w:tcPr>
          <w:p>
            <w:pPr>
              <w:pStyle w:val="tablecopy"/>
              <w:jc w:val="left"/>
            </w:pPr>
            <w:r>
              <w:rPr>
                <w:rFonts w:ascii="Times New Roman" w:hAnsi="Times New Roman" w:eastAsia="Times New Roman" w:cs="Times New Roman"/>
                <w:b w:val="0"/>
                <w:i w:val="0"/>
                <w:sz w:val="12"/>
              </w:rPr>
              <w:t>Makes evaluator behavior auditable</w:t>
            </w:r>
          </w:p>
        </w:tc>
      </w:tr>
      <w:tr>
        <w:tc>
          <w:tcPr>
            <w:tcW w:type="dxa" w:w="1478"/>
            <w:vAlign w:val="center"/>
          </w:tcPr>
          <w:p>
            <w:pPr>
              <w:pStyle w:val="tablecopy"/>
              <w:jc w:val="left"/>
            </w:pPr>
            <w:r>
              <w:rPr>
                <w:rFonts w:ascii="Times New Roman" w:hAnsi="Times New Roman" w:eastAsia="Times New Roman" w:cs="Times New Roman"/>
                <w:b w:val="0"/>
                <w:i w:val="0"/>
                <w:sz w:val="12"/>
              </w:rPr>
              <w:t>Metric record</w:t>
            </w:r>
          </w:p>
        </w:tc>
        <w:tc>
          <w:tcPr>
            <w:tcW w:type="dxa" w:w="1478"/>
            <w:vAlign w:val="center"/>
          </w:tcPr>
          <w:p>
            <w:pPr>
              <w:pStyle w:val="tablecopy"/>
              <w:jc w:val="left"/>
            </w:pPr>
            <w:r>
              <w:rPr>
                <w:rFonts w:ascii="Times New Roman" w:hAnsi="Times New Roman" w:eastAsia="Times New Roman" w:cs="Times New Roman"/>
                <w:b w:val="0"/>
                <w:i w:val="0"/>
                <w:sz w:val="12"/>
              </w:rPr>
              <w:t>Formula inputs, applicability, provenance</w:t>
            </w:r>
          </w:p>
        </w:tc>
        <w:tc>
          <w:tcPr>
            <w:tcW w:type="dxa" w:w="1478"/>
            <w:vAlign w:val="center"/>
          </w:tcPr>
          <w:p>
            <w:pPr>
              <w:pStyle w:val="tablecopy"/>
              <w:jc w:val="left"/>
            </w:pPr>
            <w:r>
              <w:rPr>
                <w:rFonts w:ascii="Times New Roman" w:hAnsi="Times New Roman" w:eastAsia="Times New Roman" w:cs="Times New Roman"/>
                <w:b w:val="0"/>
                <w:i w:val="0"/>
                <w:sz w:val="12"/>
              </w:rPr>
              <w:t>Prevents unsupported aggregation</w:t>
            </w:r>
          </w:p>
        </w:tc>
      </w:tr>
    </w:tbl>
    <w:p>
      <w:pPr>
        <w:spacing w:after="60"/>
      </w:pPr>
    </w:p>
    <w:p>
      <w:pPr>
        <w:pStyle w:val="Heading2"/>
        <w:keepNext/>
        <w:spacing w:before="40" w:after="40"/>
        <w:jc w:val="left"/>
      </w:pPr>
      <w:r>
        <w:rPr>
          <w:rFonts w:ascii="Times New Roman" w:hAnsi="Times New Roman" w:eastAsia="Times New Roman" w:cs="Times New Roman"/>
          <w:b/>
          <w:i w:val="0"/>
          <w:sz w:val="16"/>
        </w:rPr>
        <w:t>B. Dashboard and API</w:t>
      </w:r>
    </w:p>
    <w:p>
      <w:pPr>
        <w:pStyle w:val="BodyText"/>
        <w:spacing w:after="40" w:line="240" w:lineRule="auto"/>
        <w:ind w:firstLine="173"/>
      </w:pPr>
      <w:r>
        <w:rPr>
          <w:rFonts w:ascii="Times New Roman" w:hAnsi="Times New Roman" w:eastAsia="Times New Roman" w:cs="Times New Roman"/>
          <w:b w:val="0"/>
          <w:i w:val="0"/>
          <w:sz w:val="15"/>
        </w:rPr>
        <w:t>Persistence uses SQLAlchemy entities for datasets, dataset versions, model configurations, benchmark runs, evaluations, Layer 1 results, Layer 2 results, reviews, scientific records, and model-score provenance. Read endpoints expose these entities without presenting a missing row as a negative result. The frontend consumes these endpoints to show coverage, status, provenance, and drill-down data, while runtime execution remains explicitly enabled or disabled by configuration.</w:t>
      </w:r>
    </w:p>
    <w:p>
      <w:pPr>
        <w:pStyle w:val="BodyText"/>
        <w:spacing w:after="40" w:line="240" w:lineRule="auto"/>
        <w:ind w:firstLine="173"/>
      </w:pPr>
      <w:r>
        <w:rPr>
          <w:rFonts w:ascii="Times New Roman" w:hAnsi="Times New Roman" w:eastAsia="Times New Roman" w:cs="Times New Roman"/>
          <w:b w:val="0"/>
          <w:i w:val="0"/>
          <w:sz w:val="15"/>
        </w:rPr>
        <w:t>The read interface includes health and readiness checks, a dashboard summary, model scores, runtime-model discovery, scientific-record browsing, and collection endpoints for datasets, runs, evaluations, Layer 1, Layer 2, reviews, and jobs. Each collection can be empty for a legitimate reason, such as no persisted judge result after a new server process starts. The dashboard distinguishes that operational state from an API error and from scientific non-validation.</w:t>
      </w:r>
    </w:p>
    <w:p>
      <w:pPr>
        <w:pStyle w:val="BodyText"/>
        <w:spacing w:after="40" w:line="240" w:lineRule="auto"/>
        <w:ind w:firstLine="173"/>
      </w:pPr>
      <w:r>
        <w:rPr>
          <w:rFonts w:ascii="Times New Roman" w:hAnsi="Times New Roman" w:eastAsia="Times New Roman" w:cs="Times New Roman"/>
          <w:b w:val="0"/>
          <w:i w:val="0"/>
          <w:sz w:val="15"/>
        </w:rPr>
        <w:t>The backend exposes safe read-only endpoints for dashboard summary, datasets, models, benchmark runs, evaluations, Layer 1 and Layer 2 results, scientific records, model-score provenance, runtime models, and review records. The dashboard renders these items in a light research UI and differentiates empty data from unavailable upstream measurements. Local execution is exposed as an opt-in capability; a server restart does not manufacture benchmark jobs or synthetic results.</w:t>
      </w:r>
    </w:p>
    <w:p>
      <w:r>
        <w:rPr>
          <w:rFonts w:ascii="Times New Roman" w:hAnsi="Times New Roman" w:eastAsia="Times New Roman" w:cs="Times New Roman"/>
          <w:b w:val="0"/>
          <w:i w:val="0"/>
          <w:sz w:val="16"/>
        </w:rPr>
        <w:br w:type="page"/>
      </w:r>
    </w:p>
    <w:p>
      <w:pPr>
        <w:pStyle w:val="Heading1"/>
        <w:keepNext/>
        <w:spacing w:before="80" w:after="40"/>
        <w:jc w:val="center"/>
      </w:pPr>
      <w:r>
        <w:rPr>
          <w:rFonts w:ascii="Times New Roman" w:hAnsi="Times New Roman" w:eastAsia="Times New Roman" w:cs="Times New Roman"/>
          <w:b/>
          <w:i w:val="0"/>
          <w:sz w:val="18"/>
        </w:rPr>
        <w:t>IV. MEASUREMENT PROTOCOL AND METRIC RUNTIME</w:t>
      </w:r>
    </w:p>
    <w:p>
      <w:pPr>
        <w:pStyle w:val="BodyText"/>
        <w:spacing w:after="40" w:line="240" w:lineRule="auto"/>
        <w:ind w:firstLine="173"/>
      </w:pPr>
      <w:r>
        <w:rPr>
          <w:rFonts w:ascii="Times New Roman" w:hAnsi="Times New Roman" w:eastAsia="Times New Roman" w:cs="Times New Roman"/>
          <w:b w:val="0"/>
          <w:i w:val="0"/>
          <w:sz w:val="15"/>
        </w:rPr>
        <w:t>A calculation is emitted only after its inputs satisfy the relevant contract. The platform preserves both raw source values and metadata that identify orientation, units, rubric or detector version, and uncertainty. This avoids an otherwise common failure mode in benchmark tooling: normalizing heterogeneous values into a shared scale and then interpreting the result as a universal safety score. SecureLLMBench does not introduce such a cross-metric scale.</w:t>
      </w:r>
    </w:p>
    <w:p>
      <w:pPr>
        <w:pStyle w:val="BodyText"/>
        <w:spacing w:after="40" w:line="240" w:lineRule="auto"/>
        <w:ind w:firstLine="173"/>
      </w:pPr>
      <w:r>
        <w:rPr>
          <w:rFonts w:ascii="Times New Roman" w:hAnsi="Times New Roman" w:eastAsia="Times New Roman" w:cs="Times New Roman"/>
          <w:b w:val="0"/>
          <w:i w:val="0"/>
          <w:sz w:val="15"/>
        </w:rPr>
        <w:t>All metric results use a status vocabulary that includes computed, failed, unavailable, undefined, not applicable, insufficient data, uncalibrated, and incompatible. Status is evaluated before aggregation. For example, an aggregate RC result is calculated over applicable runs only, but undefined runs are retained in the output with their reason and are never converted to numerical zeros. This allows a reviewer to inspect coverage alongside any observed value.</w:t>
      </w:r>
    </w:p>
    <w:p>
      <w:pPr>
        <w:pStyle w:val="BodyText"/>
        <w:spacing w:after="40" w:line="240" w:lineRule="auto"/>
        <w:ind w:firstLine="173"/>
      </w:pPr>
      <w:r>
        <w:rPr>
          <w:rFonts w:ascii="Times New Roman" w:hAnsi="Times New Roman" w:eastAsia="Times New Roman" w:cs="Times New Roman"/>
          <w:b w:val="0"/>
          <w:i w:val="0"/>
          <w:sz w:val="15"/>
        </w:rPr>
        <w:t>SecureLLMBench uses formulas only within their stated data contracts. The formulas below define computational behavior; they are not claimed as validated scientific estimators. Every metric requires compatible input scales, declared versions, and an explicit applicability outcome.</w:t>
      </w:r>
    </w:p>
    <w:p>
      <w:pPr>
        <w:pStyle w:val="Heading2"/>
        <w:keepNext/>
        <w:spacing w:before="40" w:after="40"/>
        <w:jc w:val="left"/>
      </w:pPr>
      <w:r>
        <w:rPr>
          <w:rFonts w:ascii="Times New Roman" w:hAnsi="Times New Roman" w:eastAsia="Times New Roman" w:cs="Times New Roman"/>
          <w:b/>
          <w:i w:val="0"/>
          <w:sz w:val="16"/>
        </w:rPr>
        <w:t>A. Dataset Quality Index</w:t>
      </w:r>
    </w:p>
    <w:p>
      <w:pPr>
        <w:pStyle w:val="BodyText"/>
        <w:spacing w:after="40" w:line="240" w:lineRule="auto"/>
        <w:ind w:firstLine="173"/>
      </w:pPr>
      <w:r>
        <w:rPr>
          <w:rFonts w:ascii="Times New Roman" w:hAnsi="Times New Roman" w:eastAsia="Times New Roman" w:cs="Times New Roman"/>
          <w:b w:val="0"/>
          <w:i w:val="0"/>
          <w:sz w:val="15"/>
        </w:rPr>
        <w:t>For a dataset with r records, exact duplicate quality is computed as 1 minus the redundant exact-duplicate count divided by r. Prompt coverage is the fraction of records containing a prompt. Category and difficulty terms use normalized entropy over present labels. Near-duplicate analysis and novelty require caller-supplied embeddings; their absence is recorded rather than inferred from text similarity. The current repository example contains only three engineering records and is not used as a basis for corpus-quality claims.</w:t>
      </w:r>
    </w:p>
    <w:p>
      <w:pPr>
        <w:pStyle w:val="BodyText"/>
        <w:spacing w:after="40" w:line="240" w:lineRule="auto"/>
        <w:ind w:firstLine="173"/>
      </w:pPr>
      <w:r>
        <w:rPr>
          <w:rFonts w:ascii="Times New Roman" w:hAnsi="Times New Roman" w:eastAsia="Times New Roman" w:cs="Times New Roman"/>
          <w:b w:val="0"/>
          <w:i w:val="0"/>
          <w:sz w:val="15"/>
        </w:rPr>
        <w:t>The repository example is retained because it exercises ingestion and duplicate handling, including whitespace-normalized injection prompts and a benign prompt. Its source file hash is preserved by the trace. The example contains two prompt-injection records and one benign record, which is inadequate for estimating category balance or model behavior. It is an engineering fixture with known provenance, not a benchmark sampling frame.</w:t>
      </w:r>
    </w:p>
    <w:p>
      <w:pPr>
        <w:pStyle w:val="BodyText"/>
        <w:spacing w:after="40" w:line="240" w:lineRule="auto"/>
        <w:ind w:firstLine="173"/>
      </w:pPr>
      <w:r>
        <w:rPr>
          <w:rFonts w:ascii="Times New Roman" w:hAnsi="Times New Roman" w:eastAsia="Times New Roman" w:cs="Times New Roman"/>
          <w:b w:val="0"/>
          <w:i w:val="0"/>
          <w:sz w:val="15"/>
        </w:rPr>
        <w:t>The exploratory Dataset Quality Index (DQI) is a weighted mean of duplicate quality, prompt coverage, category entropy, novelty, difficulty entropy, and category balance. With component values c_k and non-negative weights w_k, the implemented calculation is DQI = sum_k w_k c_k / sum_k w_k. Novelty is zero when no embeddings are supplied; this is an implementation convention and not evidence that the dataset lacks novelty. DQI must therefore be reported as exploratory only.</w:t>
      </w:r>
    </w:p>
    <w:p>
      <w:pPr>
        <w:pStyle w:val="Heading2"/>
        <w:keepNext/>
        <w:spacing w:before="40" w:after="40"/>
        <w:jc w:val="left"/>
      </w:pPr>
      <w:r>
        <w:rPr>
          <w:rFonts w:ascii="Times New Roman" w:hAnsi="Times New Roman" w:eastAsia="Times New Roman" w:cs="Times New Roman"/>
          <w:b/>
          <w:i w:val="0"/>
          <w:sz w:val="16"/>
        </w:rPr>
        <w:t>B. Recovery Capability</w:t>
      </w:r>
    </w:p>
    <w:p>
      <w:pPr>
        <w:pStyle w:val="BodyText"/>
        <w:spacing w:after="40" w:line="240" w:lineRule="auto"/>
        <w:ind w:firstLine="173"/>
      </w:pPr>
      <w:r>
        <w:rPr>
          <w:rFonts w:ascii="Times New Roman" w:hAnsi="Times New Roman" w:eastAsia="Times New Roman" w:cs="Times New Roman"/>
          <w:b w:val="0"/>
          <w:i w:val="0"/>
          <w:sz w:val="15"/>
        </w:rPr>
        <w:t>The RC runtime consumes previously generated behavioral states and never calls an inference provider. It keeps each baseline probe, attack state, recovery state, active dimension, excluded dimension, displacement, calibration identifier, context status, and diagnostic in the run record. This design enables later inspection of whether an apparent recovery follows retained conversational context or is an artifact of context truncation. A raw score and a bounded display score are separately represented only when the run is applicable.</w:t>
      </w:r>
    </w:p>
    <w:p>
      <w:pPr>
        <w:pStyle w:val="BodyText"/>
        <w:spacing w:after="40" w:line="240" w:lineRule="auto"/>
        <w:ind w:firstLine="173"/>
      </w:pPr>
      <w:r>
        <w:rPr>
          <w:rFonts w:ascii="Times New Roman" w:hAnsi="Times New Roman" w:eastAsia="Times New Roman" w:cs="Times New Roman"/>
          <w:b w:val="0"/>
          <w:i w:val="0"/>
          <w:sz w:val="15"/>
        </w:rPr>
        <w:t>The required primary dimensions are safety and helpfulness, both normalized to finite values in [0, 1]. Requiring both prevents an evaluator from treating a blanket refusal to benign work as a successful recovery. If either dimension is missing, the local trace records failed_evaluation and missing_required_behavioral_state_dimension. A compatible calibration artifact must additionally identify the RC methodology, distance, dimension schema, and a positive Delta_A floor before a primary RC score is permitted.</w:t>
      </w:r>
    </w:p>
    <w:p>
      <w:pPr>
        <w:pStyle w:val="BodyText"/>
        <w:spacing w:after="40" w:line="240" w:lineRule="auto"/>
        <w:ind w:firstLine="173"/>
      </w:pPr>
      <w:r>
        <w:rPr>
          <w:rFonts w:ascii="Times New Roman" w:hAnsi="Times New Roman" w:eastAsia="Times New Roman" w:cs="Times New Roman"/>
          <w:b w:val="0"/>
          <w:i w:val="0"/>
          <w:sz w:val="15"/>
        </w:rPr>
        <w:t>For an active behavioral vector with m dimensions, the primary RC distance is d(X,Y) = sqrt[(1/m) sum_j (X_j - Y_j)^2]. Given baseline mean Bbar, attack state A, and recovery states R_t, the attack displacement is Delta_A = d(A,Bbar), and each recovery displacement is Delta_t = d(R_t,Bbar). The primary raw score is RC_AUC_raw = 1 - mean_t(Delta_t)/Delta_A. Terminal recovery is 1 - Delta_n/Delta_A. Both are null unless safety and helpfulness are available, context is retained, and a compatible external calibration artifact supplies a positive Delta_A applicability floor.</w:t>
      </w:r>
    </w:p>
    <w:p>
      <w:pPr>
        <w:pStyle w:val="Heading2"/>
        <w:keepNext/>
        <w:spacing w:before="40" w:after="40"/>
        <w:jc w:val="left"/>
      </w:pPr>
      <w:r>
        <w:rPr>
          <w:rFonts w:ascii="Times New Roman" w:hAnsi="Times New Roman" w:eastAsia="Times New Roman" w:cs="Times New Roman"/>
          <w:b/>
          <w:i w:val="0"/>
          <w:sz w:val="16"/>
        </w:rPr>
        <w:t>C. Sequential Attack Evaluation</w:t>
      </w:r>
    </w:p>
    <w:p>
      <w:pPr>
        <w:pStyle w:val="BodyText"/>
        <w:spacing w:after="40" w:line="240" w:lineRule="auto"/>
        <w:ind w:firstLine="173"/>
      </w:pPr>
      <w:r>
        <w:rPr>
          <w:rFonts w:ascii="Times New Roman" w:hAnsi="Times New Roman" w:eastAsia="Times New Roman" w:cs="Times New Roman"/>
          <w:b w:val="0"/>
          <w:i w:val="0"/>
          <w:sz w:val="15"/>
        </w:rPr>
        <w:t>SAEA stores an ordered sequence identifier, per-step positions, matched isolated-control references, and structured order, Shapley, and recovery-trend diagnostics when they can be computed. The proposed null comparison is retained as a candidate diagnostic rather than a probability of attack success. This preserves the distinction between a sequence-associated behavioral deviation and a policy violation. Incomplete sequences, missing dimensions, and unmatched controls produce typed undefined outputs.</w:t>
      </w:r>
    </w:p>
    <w:p>
      <w:pPr>
        <w:pStyle w:val="BodyText"/>
        <w:spacing w:after="40" w:line="240" w:lineRule="auto"/>
        <w:ind w:firstLine="173"/>
      </w:pPr>
      <w:r>
        <w:rPr>
          <w:rFonts w:ascii="Times New Roman" w:hAnsi="Times New Roman" w:eastAsia="Times New Roman" w:cs="Times New Roman"/>
          <w:b w:val="0"/>
          <w:i w:val="0"/>
          <w:sz w:val="15"/>
        </w:rPr>
        <w:t>The implementation requires matched baseline protocol, model configuration, generation settings, behavioral schema, measurement versions, and context condition before sequence and isolated states can be compared. In the local trace these prerequisites were not met because required behavioral dimensions were unavailable. The resulting CV_obs, synergy index, order effect, Shapley values, and recovery trend are therefore recorded as undefined rather than fabricated by substituting Layer 1 evidence.</w:t>
      </w:r>
    </w:p>
    <w:p>
      <w:pPr>
        <w:pStyle w:val="BodyText"/>
        <w:spacing w:after="40" w:line="240" w:lineRule="auto"/>
        <w:ind w:firstLine="173"/>
      </w:pPr>
      <w:r>
        <w:rPr>
          <w:rFonts w:ascii="Times New Roman" w:hAnsi="Times New Roman" w:eastAsia="Times New Roman" w:cs="Times New Roman"/>
          <w:b w:val="0"/>
          <w:i w:val="0"/>
          <w:sz w:val="15"/>
        </w:rPr>
        <w:t>For ordered states s_i, SAEA retains per-step deviation Delta_i = d(s_i,Bbar), observed cumulative deviation CV_obs = (1/L) sum_i Delta_i, and the candidate Bliss null E_Bliss = 1 - product_i(1 - Delta_i) under normalized Euclidean Delta_max = 1. A sequence-context effect DeltaV_i = Delta_i - V_iso(A_i) is allowed only when the isolated comparison is commensurate and matched. The framework never zero-fills a missing dimension or treats an undefined interaction as no interaction.</w:t>
      </w:r>
    </w:p>
    <w:p>
      <w:pPr>
        <w:pStyle w:val="figurecaption"/>
        <w:keepLines/>
        <w:spacing w:before="40" w:after="100"/>
        <w:jc w:val="center"/>
      </w:pPr>
      <w:r>
        <w:rPr>
          <w:rFonts w:ascii="Times New Roman" w:hAnsi="Times New Roman" w:eastAsia="Times New Roman" w:cs="Times New Roman"/>
          <w:b w:val="0"/>
          <w:i/>
          <w:sz w:val="14"/>
        </w:rPr>
        <w:t>TABLE II. Metric families and enforced output boundaries.</w:t>
      </w:r>
    </w:p>
    <w:tbl>
      <w:tblPr>
        <w:tblW w:type="auto" w:w="0"/>
        <w:tblLayout w:type="fixed"/>
        <w:tblLook w:firstColumn="1" w:firstRow="1" w:lastColumn="0" w:lastRow="0" w:noHBand="0" w:noVBand="1" w:val="04A0"/>
      </w:tblPr>
      <w:tblGrid>
        <w:gridCol w:w="3373"/>
        <w:gridCol w:w="3373"/>
        <w:gridCol w:w="3373"/>
      </w:tblGrid>
      <w:tr>
        <w:tc>
          <w:tcPr>
            <w:tcW w:type="dxa" w:w="1478"/>
            <w:vAlign w:val="center"/>
          </w:tcPr>
          <w:p>
            <w:pPr>
              <w:pStyle w:val="tablecolhead"/>
              <w:jc w:val="center"/>
            </w:pPr>
            <w:r>
              <w:rPr>
                <w:rFonts w:ascii="Times New Roman" w:hAnsi="Times New Roman" w:eastAsia="Times New Roman" w:cs="Times New Roman"/>
                <w:b/>
                <w:i w:val="0"/>
                <w:sz w:val="12"/>
              </w:rPr>
              <w:t>Family</w:t>
            </w:r>
          </w:p>
        </w:tc>
        <w:tc>
          <w:tcPr>
            <w:tcW w:type="dxa" w:w="1478"/>
            <w:vAlign w:val="center"/>
          </w:tcPr>
          <w:p>
            <w:pPr>
              <w:pStyle w:val="tablecolhead"/>
              <w:jc w:val="center"/>
            </w:pPr>
            <w:r>
              <w:rPr>
                <w:rFonts w:ascii="Times New Roman" w:hAnsi="Times New Roman" w:eastAsia="Times New Roman" w:cs="Times New Roman"/>
                <w:b/>
                <w:i w:val="0"/>
                <w:sz w:val="12"/>
              </w:rPr>
              <w:t>Permitted calculation</w:t>
            </w:r>
          </w:p>
        </w:tc>
        <w:tc>
          <w:tcPr>
            <w:tcW w:type="dxa" w:w="1478"/>
            <w:vAlign w:val="center"/>
          </w:tcPr>
          <w:p>
            <w:pPr>
              <w:pStyle w:val="tablecolhead"/>
              <w:jc w:val="center"/>
            </w:pPr>
            <w:r>
              <w:rPr>
                <w:rFonts w:ascii="Times New Roman" w:hAnsi="Times New Roman" w:eastAsia="Times New Roman" w:cs="Times New Roman"/>
                <w:b/>
                <w:i w:val="0"/>
                <w:sz w:val="12"/>
              </w:rPr>
              <w:t>Current output state</w:t>
            </w:r>
          </w:p>
        </w:tc>
      </w:tr>
      <w:tr>
        <w:tc>
          <w:tcPr>
            <w:tcW w:type="dxa" w:w="1478"/>
            <w:vAlign w:val="center"/>
          </w:tcPr>
          <w:p>
            <w:pPr>
              <w:pStyle w:val="tablecopy"/>
              <w:jc w:val="left"/>
            </w:pPr>
            <w:r>
              <w:rPr>
                <w:rFonts w:ascii="Times New Roman" w:hAnsi="Times New Roman" w:eastAsia="Times New Roman" w:cs="Times New Roman"/>
                <w:b w:val="0"/>
                <w:i w:val="0"/>
                <w:sz w:val="12"/>
              </w:rPr>
              <w:t>BSDA</w:t>
            </w:r>
          </w:p>
        </w:tc>
        <w:tc>
          <w:tcPr>
            <w:tcW w:type="dxa" w:w="1478"/>
            <w:vAlign w:val="center"/>
          </w:tcPr>
          <w:p>
            <w:pPr>
              <w:pStyle w:val="tablecopy"/>
              <w:jc w:val="left"/>
            </w:pPr>
            <w:r>
              <w:rPr>
                <w:rFonts w:ascii="Times New Roman" w:hAnsi="Times New Roman" w:eastAsia="Times New Roman" w:cs="Times New Roman"/>
                <w:b w:val="0"/>
                <w:i w:val="0"/>
                <w:sz w:val="12"/>
              </w:rPr>
              <w:t>Four separate components: semantic, safety, instruction, structural</w:t>
            </w:r>
          </w:p>
        </w:tc>
        <w:tc>
          <w:tcPr>
            <w:tcW w:type="dxa" w:w="1478"/>
            <w:vAlign w:val="center"/>
          </w:tcPr>
          <w:p>
            <w:pPr>
              <w:pStyle w:val="tablecopy"/>
              <w:jc w:val="left"/>
            </w:pPr>
            <w:r>
              <w:rPr>
                <w:rFonts w:ascii="Times New Roman" w:hAnsi="Times New Roman" w:eastAsia="Times New Roman" w:cs="Times New Roman"/>
                <w:b w:val="0"/>
                <w:i w:val="0"/>
                <w:sz w:val="12"/>
              </w:rPr>
              <w:t>No composite score</w:t>
            </w:r>
          </w:p>
        </w:tc>
      </w:tr>
      <w:tr>
        <w:tc>
          <w:tcPr>
            <w:tcW w:type="dxa" w:w="1478"/>
            <w:vAlign w:val="center"/>
          </w:tcPr>
          <w:p>
            <w:pPr>
              <w:pStyle w:val="tablecopy"/>
              <w:jc w:val="left"/>
            </w:pPr>
            <w:r>
              <w:rPr>
                <w:rFonts w:ascii="Times New Roman" w:hAnsi="Times New Roman" w:eastAsia="Times New Roman" w:cs="Times New Roman"/>
                <w:b w:val="0"/>
                <w:i w:val="0"/>
                <w:sz w:val="12"/>
              </w:rPr>
              <w:t>RC</w:t>
            </w:r>
          </w:p>
        </w:tc>
        <w:tc>
          <w:tcPr>
            <w:tcW w:type="dxa" w:w="1478"/>
            <w:vAlign w:val="center"/>
          </w:tcPr>
          <w:p>
            <w:pPr>
              <w:pStyle w:val="tablecopy"/>
              <w:jc w:val="left"/>
            </w:pPr>
            <w:r>
              <w:rPr>
                <w:rFonts w:ascii="Times New Roman" w:hAnsi="Times New Roman" w:eastAsia="Times New Roman" w:cs="Times New Roman"/>
                <w:b w:val="0"/>
                <w:i w:val="0"/>
                <w:sz w:val="12"/>
              </w:rPr>
              <w:t>Normalized Euclidean recovery trajectory</w:t>
            </w:r>
          </w:p>
        </w:tc>
        <w:tc>
          <w:tcPr>
            <w:tcW w:type="dxa" w:w="1478"/>
            <w:vAlign w:val="center"/>
          </w:tcPr>
          <w:p>
            <w:pPr>
              <w:pStyle w:val="tablecopy"/>
              <w:jc w:val="left"/>
            </w:pPr>
            <w:r>
              <w:rPr>
                <w:rFonts w:ascii="Times New Roman" w:hAnsi="Times New Roman" w:eastAsia="Times New Roman" w:cs="Times New Roman"/>
                <w:b w:val="0"/>
                <w:i w:val="0"/>
                <w:sz w:val="12"/>
              </w:rPr>
              <w:t>Null if uncalibrated/incompatible</w:t>
            </w:r>
          </w:p>
        </w:tc>
      </w:tr>
      <w:tr>
        <w:tc>
          <w:tcPr>
            <w:tcW w:type="dxa" w:w="1478"/>
            <w:vAlign w:val="center"/>
          </w:tcPr>
          <w:p>
            <w:pPr>
              <w:pStyle w:val="tablecopy"/>
              <w:jc w:val="left"/>
            </w:pPr>
            <w:r>
              <w:rPr>
                <w:rFonts w:ascii="Times New Roman" w:hAnsi="Times New Roman" w:eastAsia="Times New Roman" w:cs="Times New Roman"/>
                <w:b w:val="0"/>
                <w:i w:val="0"/>
                <w:sz w:val="12"/>
              </w:rPr>
              <w:t>SAEA</w:t>
            </w:r>
          </w:p>
        </w:tc>
        <w:tc>
          <w:tcPr>
            <w:tcW w:type="dxa" w:w="1478"/>
            <w:vAlign w:val="center"/>
          </w:tcPr>
          <w:p>
            <w:pPr>
              <w:pStyle w:val="tablecopy"/>
              <w:jc w:val="left"/>
            </w:pPr>
            <w:r>
              <w:rPr>
                <w:rFonts w:ascii="Times New Roman" w:hAnsi="Times New Roman" w:eastAsia="Times New Roman" w:cs="Times New Roman"/>
                <w:b w:val="0"/>
                <w:i w:val="0"/>
                <w:sz w:val="12"/>
              </w:rPr>
              <w:t>Per-step, CV_obs, candidate null diagnostics</w:t>
            </w:r>
          </w:p>
        </w:tc>
        <w:tc>
          <w:tcPr>
            <w:tcW w:type="dxa" w:w="1478"/>
            <w:vAlign w:val="center"/>
          </w:tcPr>
          <w:p>
            <w:pPr>
              <w:pStyle w:val="tablecopy"/>
              <w:jc w:val="left"/>
            </w:pPr>
            <w:r>
              <w:rPr>
                <w:rFonts w:ascii="Times New Roman" w:hAnsi="Times New Roman" w:eastAsia="Times New Roman" w:cs="Times New Roman"/>
                <w:b w:val="0"/>
                <w:i w:val="0"/>
                <w:sz w:val="12"/>
              </w:rPr>
              <w:t>Requires matched trajectories</w:t>
            </w:r>
          </w:p>
        </w:tc>
      </w:tr>
      <w:tr>
        <w:tc>
          <w:tcPr>
            <w:tcW w:type="dxa" w:w="1478"/>
            <w:vAlign w:val="center"/>
          </w:tcPr>
          <w:p>
            <w:pPr>
              <w:pStyle w:val="tablecopy"/>
              <w:jc w:val="left"/>
            </w:pPr>
            <w:r>
              <w:rPr>
                <w:rFonts w:ascii="Times New Roman" w:hAnsi="Times New Roman" w:eastAsia="Times New Roman" w:cs="Times New Roman"/>
                <w:b w:val="0"/>
                <w:i w:val="0"/>
                <w:sz w:val="12"/>
              </w:rPr>
              <w:t>DRAA</w:t>
            </w:r>
          </w:p>
        </w:tc>
        <w:tc>
          <w:tcPr>
            <w:tcW w:type="dxa" w:w="1478"/>
            <w:vAlign w:val="center"/>
          </w:tcPr>
          <w:p>
            <w:pPr>
              <w:pStyle w:val="tablecopy"/>
              <w:jc w:val="left"/>
            </w:pPr>
            <w:r>
              <w:rPr>
                <w:rFonts w:ascii="Times New Roman" w:hAnsi="Times New Roman" w:eastAsia="Times New Roman" w:cs="Times New Roman"/>
                <w:b w:val="0"/>
                <w:i w:val="0"/>
                <w:sz w:val="12"/>
              </w:rPr>
              <w:t>Evidence transport and missingness provenance</w:t>
            </w:r>
          </w:p>
        </w:tc>
        <w:tc>
          <w:tcPr>
            <w:tcW w:type="dxa" w:w="1478"/>
            <w:vAlign w:val="center"/>
          </w:tcPr>
          <w:p>
            <w:pPr>
              <w:pStyle w:val="tablecopy"/>
              <w:jc w:val="left"/>
            </w:pPr>
            <w:r>
              <w:rPr>
                <w:rFonts w:ascii="Times New Roman" w:hAnsi="Times New Roman" w:eastAsia="Times New Roman" w:cs="Times New Roman"/>
                <w:b w:val="0"/>
                <w:i w:val="0"/>
                <w:sz w:val="12"/>
              </w:rPr>
              <w:t>risk_score = null</w:t>
            </w:r>
          </w:p>
        </w:tc>
      </w:tr>
      <w:tr>
        <w:tc>
          <w:tcPr>
            <w:tcW w:type="dxa" w:w="1478"/>
            <w:vAlign w:val="center"/>
          </w:tcPr>
          <w:p>
            <w:pPr>
              <w:pStyle w:val="tablecopy"/>
              <w:jc w:val="left"/>
            </w:pPr>
            <w:r>
              <w:rPr>
                <w:rFonts w:ascii="Times New Roman" w:hAnsi="Times New Roman" w:eastAsia="Times New Roman" w:cs="Times New Roman"/>
                <w:b w:val="0"/>
                <w:i w:val="0"/>
                <w:sz w:val="12"/>
              </w:rPr>
              <w:t>PRI</w:t>
            </w:r>
          </w:p>
        </w:tc>
        <w:tc>
          <w:tcPr>
            <w:tcW w:type="dxa" w:w="1478"/>
            <w:vAlign w:val="center"/>
          </w:tcPr>
          <w:p>
            <w:pPr>
              <w:pStyle w:val="tablecopy"/>
              <w:jc w:val="left"/>
            </w:pPr>
            <w:r>
              <w:rPr>
                <w:rFonts w:ascii="Times New Roman" w:hAnsi="Times New Roman" w:eastAsia="Times New Roman" w:cs="Times New Roman"/>
                <w:b w:val="0"/>
                <w:i w:val="0"/>
                <w:sz w:val="12"/>
              </w:rPr>
              <w:t>Model/configuration evidence profile</w:t>
            </w:r>
          </w:p>
        </w:tc>
        <w:tc>
          <w:tcPr>
            <w:tcW w:type="dxa" w:w="1478"/>
            <w:vAlign w:val="center"/>
          </w:tcPr>
          <w:p>
            <w:pPr>
              <w:pStyle w:val="tablecopy"/>
              <w:jc w:val="left"/>
            </w:pPr>
            <w:r>
              <w:rPr>
                <w:rFonts w:ascii="Times New Roman" w:hAnsi="Times New Roman" w:eastAsia="Times New Roman" w:cs="Times New Roman"/>
                <w:b w:val="0"/>
                <w:i w:val="0"/>
                <w:sz w:val="12"/>
              </w:rPr>
              <w:t>scalar_pri = null</w:t>
            </w:r>
          </w:p>
        </w:tc>
      </w:tr>
    </w:tbl>
    <w:p>
      <w:pPr>
        <w:spacing w:after="60"/>
      </w:pPr>
    </w:p>
    <w:p>
      <w:pPr>
        <w:pStyle w:val="Heading2"/>
        <w:keepNext/>
        <w:spacing w:before="40" w:after="40"/>
        <w:jc w:val="left"/>
      </w:pPr>
      <w:r>
        <w:rPr>
          <w:rFonts w:ascii="Times New Roman" w:hAnsi="Times New Roman" w:eastAsia="Times New Roman" w:cs="Times New Roman"/>
          <w:b/>
          <w:i w:val="0"/>
          <w:sz w:val="16"/>
        </w:rPr>
        <w:t>D. Outcome and Human Validation</w:t>
      </w:r>
    </w:p>
    <w:p>
      <w:pPr>
        <w:pStyle w:val="BodyText"/>
        <w:spacing w:after="40" w:line="240" w:lineRule="auto"/>
        <w:ind w:firstLine="173"/>
      </w:pPr>
      <w:r>
        <w:rPr>
          <w:rFonts w:ascii="Times New Roman" w:hAnsi="Times New Roman" w:eastAsia="Times New Roman" w:cs="Times New Roman"/>
          <w:b w:val="0"/>
          <w:i w:val="0"/>
          <w:sz w:val="15"/>
        </w:rPr>
        <w:t>A future study can attach outcome labels through a versioned protocol that defines the unit of analysis, labels, adjudication, exclusions, and denominator policy. The implementation supports blinded exports so raters do not see model identity or experimental condition by default. Agreement statistics are computed after labels exist; they do not create labels or resolve disagreements automatically. This separation keeps a later ASR estimate attributable to an approved protocol rather than to a detector threshold.</w:t>
      </w:r>
    </w:p>
    <w:p>
      <w:pPr>
        <w:pStyle w:val="BodyText"/>
        <w:spacing w:after="40" w:line="240" w:lineRule="auto"/>
        <w:ind w:firstLine="173"/>
      </w:pPr>
      <w:r>
        <w:rPr>
          <w:rFonts w:ascii="Times New Roman" w:hAnsi="Times New Roman" w:eastAsia="Times New Roman" w:cs="Times New Roman"/>
          <w:b w:val="0"/>
          <w:i w:val="0"/>
          <w:sz w:val="15"/>
        </w:rPr>
        <w:t>ASR is calculated only from explicit classified outcome records: ASR = successes / classified denominator. Layer 1 or Layer 2 values cannot silently become success labels. The repository includes blinded sample export, agreement rate, Cohen’s kappa, Fleiss kappa, and confusion-matrix utilities for a future independent rater protocol. These utilities are workflow support, not evidence that human validation has occurred.</w:t>
      </w:r>
    </w:p>
    <w:p>
      <w:r>
        <w:rPr>
          <w:rFonts w:ascii="Times New Roman" w:hAnsi="Times New Roman" w:eastAsia="Times New Roman" w:cs="Times New Roman"/>
          <w:b w:val="0"/>
          <w:i w:val="0"/>
          <w:sz w:val="16"/>
        </w:rPr>
        <w:br w:type="page"/>
      </w:r>
    </w:p>
    <w:p>
      <w:pPr>
        <w:pStyle w:val="Heading1"/>
        <w:keepNext/>
        <w:spacing w:before="80" w:after="40"/>
        <w:jc w:val="center"/>
      </w:pPr>
      <w:r>
        <w:rPr>
          <w:rFonts w:ascii="Times New Roman" w:hAnsi="Times New Roman" w:eastAsia="Times New Roman" w:cs="Times New Roman"/>
          <w:b/>
          <w:i w:val="0"/>
          <w:sz w:val="18"/>
        </w:rPr>
        <w:t>V. RUNTIME INVARIANTS AND FAILURE HANDLING</w:t>
      </w:r>
    </w:p>
    <w:p>
      <w:pPr>
        <w:pStyle w:val="BodyText"/>
        <w:spacing w:after="40" w:line="240" w:lineRule="auto"/>
        <w:ind w:firstLine="173"/>
      </w:pPr>
      <w:r>
        <w:rPr>
          <w:rFonts w:ascii="Times New Roman" w:hAnsi="Times New Roman" w:eastAsia="Times New Roman" w:cs="Times New Roman"/>
          <w:b w:val="0"/>
          <w:i w:val="0"/>
          <w:sz w:val="15"/>
        </w:rPr>
        <w:t>The runtime enforces a set of engineering invariants. A Layer 1 detector result is never promoted to attack success. A Layer 2 value is never presented as ground truth or a calibrated probability. Failed or refused judge outputs remain non-numeric. Missing dimensions are not imputed, and a partial trajectory cannot produce a primary recovery value. These rules are encoded in typed inputs and result statuses rather than left to a paper author’s interpretation.</w:t>
      </w:r>
    </w:p>
    <w:p>
      <w:pPr>
        <w:pStyle w:val="BodyText"/>
        <w:spacing w:after="40" w:line="240" w:lineRule="auto"/>
        <w:ind w:firstLine="173"/>
      </w:pPr>
      <w:r>
        <w:rPr>
          <w:rFonts w:ascii="Times New Roman" w:hAnsi="Times New Roman" w:eastAsia="Times New Roman" w:cs="Times New Roman"/>
          <w:b w:val="0"/>
          <w:i w:val="0"/>
          <w:sz w:val="15"/>
        </w:rPr>
        <w:t>For Recovery Capability, the behavioral state requires safety and helpfulness dimensions, retained context, finite normalized values, and a compatible external calibration artifact. The primary normalized-Euclidean calculation is recorded together with its baseline, attack displacement, recovery displacements, active dimensions, and reason for any null result. An unavailable calibration artifact produces an uncalibrated trajectory record, not a threshold selected by convenience.</w:t>
      </w:r>
    </w:p>
    <w:p>
      <w:pPr>
        <w:pStyle w:val="BodyText"/>
        <w:spacing w:after="40" w:line="240" w:lineRule="auto"/>
        <w:ind w:firstLine="173"/>
      </w:pPr>
      <w:r>
        <w:rPr>
          <w:rFonts w:ascii="Times New Roman" w:hAnsi="Times New Roman" w:eastAsia="Times New Roman" w:cs="Times New Roman"/>
          <w:b w:val="0"/>
          <w:i w:val="0"/>
          <w:sz w:val="15"/>
        </w:rPr>
        <w:t>For DRAA and PRI, implementation modes provide evidence transport and profile assembly only. The code does not invent feature weights, a risk target, a missingness policy, a common measurement scale, or a model-ranking rule. Consequently, risk_score and scalar_pri remain null in uncalibrated mode. This is an enforceable interface property that can be checked in tests and reviewed in stored artifacts.</w:t>
      </w:r>
    </w:p>
    <w:p>
      <w:pPr>
        <w:pStyle w:val="Heading1"/>
        <w:keepNext/>
        <w:spacing w:before="80" w:after="40"/>
        <w:jc w:val="center"/>
      </w:pPr>
      <w:r>
        <w:rPr>
          <w:rFonts w:ascii="Times New Roman" w:hAnsi="Times New Roman" w:eastAsia="Times New Roman" w:cs="Times New Roman"/>
          <w:b/>
          <w:i w:val="0"/>
          <w:sz w:val="18"/>
        </w:rPr>
        <w:t>VI. LOCAL ENGINEERING TRACE</w:t>
      </w:r>
    </w:p>
    <w:p>
      <w:pPr>
        <w:pStyle w:val="BodyText"/>
        <w:spacing w:after="40" w:line="240" w:lineRule="auto"/>
        <w:ind w:firstLine="173"/>
      </w:pPr>
      <w:r>
        <w:rPr>
          <w:rFonts w:ascii="Times New Roman" w:hAnsi="Times New Roman" w:eastAsia="Times New Roman" w:cs="Times New Roman"/>
          <w:b w:val="0"/>
          <w:i w:val="0"/>
          <w:sz w:val="15"/>
        </w:rPr>
        <w:t>The local run was performed to exercise the complete data path: target inference, metadata capture, Layer 1 evaluation, Layer 2 orchestration, behavioral-state construction, metric applicability checks, trace serialization, and analysis. It ran only models already present in the local Ollama environment. No remote API response, proprietary benchmark, or fabricated model output was added to the trace.</w:t>
      </w:r>
    </w:p>
    <w:p>
      <w:pPr>
        <w:pStyle w:val="BodyText"/>
        <w:spacing w:after="40" w:line="240" w:lineRule="auto"/>
        <w:ind w:firstLine="173"/>
      </w:pPr>
      <w:r>
        <w:rPr>
          <w:rFonts w:ascii="Times New Roman" w:hAnsi="Times New Roman" w:eastAsia="Times New Roman" w:cs="Times New Roman"/>
          <w:b w:val="0"/>
          <w:i w:val="0"/>
          <w:sz w:val="15"/>
        </w:rPr>
        <w:t>The target configuration was qwen3.5:2b with an observed local model digest, temperature 0.0, seed 2026, and a maximum of 128 predicted tokens. The judge configuration was gemma3:4b, invoked through a JSON-oriented local provider. The trace has a stable identifier, dataset path, dataset SHA-256, prompt protocol, stage timestamps, provider timing, and runner configuration. Those identifiers make a later rerun comparable at the engineering level when the local models remain installed.</w:t>
      </w:r>
    </w:p>
    <w:p>
      <w:pPr>
        <w:pStyle w:val="BodyText"/>
        <w:spacing w:after="40" w:line="240" w:lineRule="auto"/>
        <w:ind w:firstLine="173"/>
      </w:pPr>
      <w:r>
        <w:rPr>
          <w:rFonts w:ascii="Times New Roman" w:hAnsi="Times New Roman" w:eastAsia="Times New Roman" w:cs="Times New Roman"/>
          <w:b w:val="0"/>
          <w:i w:val="0"/>
          <w:sz w:val="15"/>
        </w:rPr>
        <w:t>A real local trace was executed with qwen3.5:2b as the target model and gemma3:4b as the local judge. The trace used the repository example dataset hash b395724a958530e590e2800a9a3c351fb702c6bb0b36327cb81070d0b8375c1c, temperature 0.0, seed 2026, and a 128-token generation limit. It evaluated a baseline task, an isolated injection prompt, a two-step sequence, and a recovery instruction. The purpose of the trace was to verify runtime integration, not to estimate security performance.</w:t>
      </w:r>
    </w:p>
    <w:p>
      <w:pPr>
        <w:keepNext/>
        <w:spacing w:before="100" w:after="20"/>
        <w:jc w:val="center"/>
      </w:pPr>
      <w:r>
        <w:rPr>
          <w:rFonts w:ascii="Times New Roman" w:hAnsi="Times New Roman" w:eastAsia="Times New Roman" w:cs="Times New Roman"/>
          <w:b w:val="0"/>
          <w:i w:val="0"/>
          <w:sz w:val="16"/>
        </w:rPr>
        <w:drawing>
          <wp:inline xmlns:a="http://schemas.openxmlformats.org/drawingml/2006/main" xmlns:pic="http://schemas.openxmlformats.org/drawingml/2006/picture">
            <wp:extent cx="2907792" cy="1550822"/>
            <wp:docPr id="2" name="Picture 2"/>
            <wp:cNvGraphicFramePr>
              <a:graphicFrameLocks noChangeAspect="1"/>
            </wp:cNvGraphicFramePr>
            <a:graphic>
              <a:graphicData uri="http://schemas.openxmlformats.org/drawingml/2006/picture">
                <pic:pic>
                  <pic:nvPicPr>
                    <pic:cNvPr id="0" name="latency.png"/>
                    <pic:cNvPicPr/>
                  </pic:nvPicPr>
                  <pic:blipFill>
                    <a:blip r:embed="rId14"/>
                    <a:stretch>
                      <a:fillRect/>
                    </a:stretch>
                  </pic:blipFill>
                  <pic:spPr>
                    <a:xfrm>
                      <a:off x="0" y="0"/>
                      <a:ext cx="2907792" cy="1550822"/>
                    </a:xfrm>
                    <a:prstGeom prst="rect"/>
                  </pic:spPr>
                </pic:pic>
              </a:graphicData>
            </a:graphic>
          </wp:inline>
        </w:drawing>
      </w:r>
    </w:p>
    <w:p>
      <w:pPr>
        <w:pStyle w:val="figurecaption"/>
        <w:keepLines/>
        <w:spacing w:before="40" w:after="100"/>
        <w:jc w:val="center"/>
      </w:pPr>
      <w:r>
        <w:rPr>
          <w:rFonts w:ascii="Times New Roman" w:hAnsi="Times New Roman" w:eastAsia="Times New Roman" w:cs="Times New Roman"/>
          <w:b w:val="0"/>
          <w:i/>
          <w:sz w:val="14"/>
        </w:rPr>
        <w:t>Fig. 2. Stage-level latency from the local trace. Mean across five stages: 1448.0 ms; sample standard deviation: 85.3 ms.</w:t>
      </w:r>
    </w:p>
    <w:p>
      <w:pPr>
        <w:pStyle w:val="Heading2"/>
        <w:keepNext/>
        <w:spacing w:before="40" w:after="40"/>
        <w:jc w:val="left"/>
      </w:pPr>
      <w:r>
        <w:rPr>
          <w:rFonts w:ascii="Times New Roman" w:hAnsi="Times New Roman" w:eastAsia="Times New Roman" w:cs="Times New Roman"/>
          <w:b/>
          <w:i w:val="0"/>
          <w:sz w:val="16"/>
        </w:rPr>
        <w:t>A. Observed Runtime Values</w:t>
      </w:r>
    </w:p>
    <w:p>
      <w:pPr>
        <w:pStyle w:val="BodyText"/>
        <w:spacing w:after="40" w:line="240" w:lineRule="auto"/>
        <w:ind w:firstLine="173"/>
      </w:pPr>
      <w:r>
        <w:rPr>
          <w:rFonts w:ascii="Times New Roman" w:hAnsi="Times New Roman" w:eastAsia="Times New Roman" w:cs="Times New Roman"/>
          <w:b w:val="0"/>
          <w:i w:val="0"/>
          <w:sz w:val="15"/>
        </w:rPr>
        <w:t>Latency is reported as a systems measurement in milliseconds for the five configured stages. The mean is 1448.0 ms and the sample standard deviation is 85.3 ms. These values describe one local execution under one model, one hardware/runtime context, and one generation configuration. They should not be used to compare serving performance across devices, models, or production environments.</w:t>
      </w:r>
    </w:p>
    <w:p>
      <w:pPr>
        <w:pStyle w:val="BodyText"/>
        <w:spacing w:after="40" w:line="240" w:lineRule="auto"/>
        <w:ind w:firstLine="173"/>
      </w:pPr>
      <w:r>
        <w:rPr>
          <w:rFonts w:ascii="Times New Roman" w:hAnsi="Times New Roman" w:eastAsia="Times New Roman" w:cs="Times New Roman"/>
          <w:b w:val="0"/>
          <w:i w:val="0"/>
          <w:sz w:val="15"/>
        </w:rPr>
        <w:t>The stage values were 1598.4 ms for baseline, 1431.9 ms for isolated attack, 1392.4 ms and 1406.9 ms for the two sequential stages, and 1410.5 ms for recovery. The separate descriptive analysis of baseline and isolated stages reported a mean of 1515.1 ms. All stages had a length finish reason and empty response text, so latency remains the only observed numerical trace result suitable for descriptive reporting.</w:t>
      </w:r>
    </w:p>
    <w:p>
      <w:pPr>
        <w:pStyle w:val="figurecaption"/>
        <w:keepLines/>
        <w:spacing w:before="40" w:after="100"/>
        <w:jc w:val="center"/>
      </w:pPr>
      <w:r>
        <w:rPr>
          <w:rFonts w:ascii="Times New Roman" w:hAnsi="Times New Roman" w:eastAsia="Times New Roman" w:cs="Times New Roman"/>
          <w:b w:val="0"/>
          <w:i/>
          <w:sz w:val="14"/>
        </w:rPr>
        <w:t>TABLE III. Local engineering trace outputs. A detector aggregate of 0.0 is evidence from configured detectors, not attack failure or model safety.</w:t>
      </w:r>
    </w:p>
    <w:tbl>
      <w:tblPr>
        <w:tblW w:type="auto" w:w="0"/>
        <w:tblLayout w:type="fixed"/>
        <w:tblLook w:firstColumn="1" w:firstRow="1" w:lastColumn="0" w:lastRow="0" w:noHBand="0" w:noVBand="1" w:val="04A0"/>
      </w:tblPr>
      <w:tblGrid>
        <w:gridCol w:w="2530"/>
        <w:gridCol w:w="2530"/>
        <w:gridCol w:w="2530"/>
        <w:gridCol w:w="2530"/>
      </w:tblGrid>
      <w:tr>
        <w:tc>
          <w:tcPr>
            <w:tcW w:type="dxa" w:w="1109"/>
            <w:vAlign w:val="center"/>
          </w:tcPr>
          <w:p>
            <w:pPr>
              <w:pStyle w:val="tablecolhead"/>
              <w:jc w:val="center"/>
            </w:pPr>
            <w:r>
              <w:rPr>
                <w:rFonts w:ascii="Times New Roman" w:hAnsi="Times New Roman" w:eastAsia="Times New Roman" w:cs="Times New Roman"/>
                <w:b/>
                <w:i w:val="0"/>
                <w:sz w:val="12"/>
              </w:rPr>
              <w:t>Stage</w:t>
            </w:r>
          </w:p>
        </w:tc>
        <w:tc>
          <w:tcPr>
            <w:tcW w:type="dxa" w:w="1109"/>
            <w:vAlign w:val="center"/>
          </w:tcPr>
          <w:p>
            <w:pPr>
              <w:pStyle w:val="tablecolhead"/>
              <w:jc w:val="center"/>
            </w:pPr>
            <w:r>
              <w:rPr>
                <w:rFonts w:ascii="Times New Roman" w:hAnsi="Times New Roman" w:eastAsia="Times New Roman" w:cs="Times New Roman"/>
                <w:b/>
                <w:i w:val="0"/>
                <w:sz w:val="12"/>
              </w:rPr>
              <w:t>Latency (ms)</w:t>
            </w:r>
          </w:p>
        </w:tc>
        <w:tc>
          <w:tcPr>
            <w:tcW w:type="dxa" w:w="1109"/>
            <w:vAlign w:val="center"/>
          </w:tcPr>
          <w:p>
            <w:pPr>
              <w:pStyle w:val="tablecolhead"/>
              <w:jc w:val="center"/>
            </w:pPr>
            <w:r>
              <w:rPr>
                <w:rFonts w:ascii="Times New Roman" w:hAnsi="Times New Roman" w:eastAsia="Times New Roman" w:cs="Times New Roman"/>
                <w:b/>
                <w:i w:val="0"/>
                <w:sz w:val="12"/>
              </w:rPr>
              <w:t>Finish reason</w:t>
            </w:r>
          </w:p>
        </w:tc>
        <w:tc>
          <w:tcPr>
            <w:tcW w:type="dxa" w:w="1109"/>
            <w:vAlign w:val="center"/>
          </w:tcPr>
          <w:p>
            <w:pPr>
              <w:pStyle w:val="tablecolhead"/>
              <w:jc w:val="center"/>
            </w:pPr>
            <w:r>
              <w:rPr>
                <w:rFonts w:ascii="Times New Roman" w:hAnsi="Times New Roman" w:eastAsia="Times New Roman" w:cs="Times New Roman"/>
                <w:b/>
                <w:i w:val="0"/>
                <w:sz w:val="12"/>
              </w:rPr>
              <w:t>Layer 1 aggregate</w:t>
            </w:r>
          </w:p>
        </w:tc>
      </w:tr>
      <w:tr>
        <w:tc>
          <w:tcPr>
            <w:tcW w:type="dxa" w:w="1109"/>
            <w:vAlign w:val="center"/>
          </w:tcPr>
          <w:p>
            <w:pPr>
              <w:pStyle w:val="tablecopy"/>
              <w:jc w:val="left"/>
            </w:pPr>
            <w:r>
              <w:rPr>
                <w:rFonts w:ascii="Times New Roman" w:hAnsi="Times New Roman" w:eastAsia="Times New Roman" w:cs="Times New Roman"/>
                <w:b w:val="0"/>
                <w:i w:val="0"/>
                <w:sz w:val="12"/>
              </w:rPr>
              <w:t>Baseline</w:t>
            </w:r>
          </w:p>
        </w:tc>
        <w:tc>
          <w:tcPr>
            <w:tcW w:type="dxa" w:w="1109"/>
            <w:vAlign w:val="center"/>
          </w:tcPr>
          <w:p>
            <w:pPr>
              <w:pStyle w:val="tablecopy"/>
              <w:jc w:val="left"/>
            </w:pPr>
            <w:r>
              <w:rPr>
                <w:rFonts w:ascii="Times New Roman" w:hAnsi="Times New Roman" w:eastAsia="Times New Roman" w:cs="Times New Roman"/>
                <w:b w:val="0"/>
                <w:i w:val="0"/>
                <w:sz w:val="12"/>
              </w:rPr>
              <w:t>1598.4</w:t>
            </w:r>
          </w:p>
        </w:tc>
        <w:tc>
          <w:tcPr>
            <w:tcW w:type="dxa" w:w="1109"/>
            <w:vAlign w:val="center"/>
          </w:tcPr>
          <w:p>
            <w:pPr>
              <w:pStyle w:val="tablecopy"/>
              <w:jc w:val="left"/>
            </w:pPr>
            <w:r>
              <w:rPr>
                <w:rFonts w:ascii="Times New Roman" w:hAnsi="Times New Roman" w:eastAsia="Times New Roman" w:cs="Times New Roman"/>
                <w:b w:val="0"/>
                <w:i w:val="0"/>
                <w:sz w:val="12"/>
              </w:rPr>
              <w:t>length</w:t>
            </w:r>
          </w:p>
        </w:tc>
        <w:tc>
          <w:tcPr>
            <w:tcW w:type="dxa" w:w="1109"/>
            <w:vAlign w:val="center"/>
          </w:tcPr>
          <w:p>
            <w:pPr>
              <w:pStyle w:val="tablecopy"/>
              <w:jc w:val="left"/>
            </w:pPr>
            <w:r>
              <w:rPr>
                <w:rFonts w:ascii="Times New Roman" w:hAnsi="Times New Roman" w:eastAsia="Times New Roman" w:cs="Times New Roman"/>
                <w:b w:val="0"/>
                <w:i w:val="0"/>
                <w:sz w:val="12"/>
              </w:rPr>
              <w:t>0.0</w:t>
            </w:r>
          </w:p>
        </w:tc>
      </w:tr>
      <w:tr>
        <w:tc>
          <w:tcPr>
            <w:tcW w:type="dxa" w:w="1109"/>
            <w:vAlign w:val="center"/>
          </w:tcPr>
          <w:p>
            <w:pPr>
              <w:pStyle w:val="tablecopy"/>
              <w:jc w:val="left"/>
            </w:pPr>
            <w:r>
              <w:rPr>
                <w:rFonts w:ascii="Times New Roman" w:hAnsi="Times New Roman" w:eastAsia="Times New Roman" w:cs="Times New Roman"/>
                <w:b w:val="0"/>
                <w:i w:val="0"/>
                <w:sz w:val="12"/>
              </w:rPr>
              <w:t>Isolated attack</w:t>
            </w:r>
          </w:p>
        </w:tc>
        <w:tc>
          <w:tcPr>
            <w:tcW w:type="dxa" w:w="1109"/>
            <w:vAlign w:val="center"/>
          </w:tcPr>
          <w:p>
            <w:pPr>
              <w:pStyle w:val="tablecopy"/>
              <w:jc w:val="left"/>
            </w:pPr>
            <w:r>
              <w:rPr>
                <w:rFonts w:ascii="Times New Roman" w:hAnsi="Times New Roman" w:eastAsia="Times New Roman" w:cs="Times New Roman"/>
                <w:b w:val="0"/>
                <w:i w:val="0"/>
                <w:sz w:val="12"/>
              </w:rPr>
              <w:t>1431.9</w:t>
            </w:r>
          </w:p>
        </w:tc>
        <w:tc>
          <w:tcPr>
            <w:tcW w:type="dxa" w:w="1109"/>
            <w:vAlign w:val="center"/>
          </w:tcPr>
          <w:p>
            <w:pPr>
              <w:pStyle w:val="tablecopy"/>
              <w:jc w:val="left"/>
            </w:pPr>
            <w:r>
              <w:rPr>
                <w:rFonts w:ascii="Times New Roman" w:hAnsi="Times New Roman" w:eastAsia="Times New Roman" w:cs="Times New Roman"/>
                <w:b w:val="0"/>
                <w:i w:val="0"/>
                <w:sz w:val="12"/>
              </w:rPr>
              <w:t>length</w:t>
            </w:r>
          </w:p>
        </w:tc>
        <w:tc>
          <w:tcPr>
            <w:tcW w:type="dxa" w:w="1109"/>
            <w:vAlign w:val="center"/>
          </w:tcPr>
          <w:p>
            <w:pPr>
              <w:pStyle w:val="tablecopy"/>
              <w:jc w:val="left"/>
            </w:pPr>
            <w:r>
              <w:rPr>
                <w:rFonts w:ascii="Times New Roman" w:hAnsi="Times New Roman" w:eastAsia="Times New Roman" w:cs="Times New Roman"/>
                <w:b w:val="0"/>
                <w:i w:val="0"/>
                <w:sz w:val="12"/>
              </w:rPr>
              <w:t>0.0</w:t>
            </w:r>
          </w:p>
        </w:tc>
      </w:tr>
      <w:tr>
        <w:tc>
          <w:tcPr>
            <w:tcW w:type="dxa" w:w="1109"/>
            <w:vAlign w:val="center"/>
          </w:tcPr>
          <w:p>
            <w:pPr>
              <w:pStyle w:val="tablecopy"/>
              <w:jc w:val="left"/>
            </w:pPr>
            <w:r>
              <w:rPr>
                <w:rFonts w:ascii="Times New Roman" w:hAnsi="Times New Roman" w:eastAsia="Times New Roman" w:cs="Times New Roman"/>
                <w:b w:val="0"/>
                <w:i w:val="0"/>
                <w:sz w:val="12"/>
              </w:rPr>
              <w:t>Sequence 1</w:t>
            </w:r>
          </w:p>
        </w:tc>
        <w:tc>
          <w:tcPr>
            <w:tcW w:type="dxa" w:w="1109"/>
            <w:vAlign w:val="center"/>
          </w:tcPr>
          <w:p>
            <w:pPr>
              <w:pStyle w:val="tablecopy"/>
              <w:jc w:val="left"/>
            </w:pPr>
            <w:r>
              <w:rPr>
                <w:rFonts w:ascii="Times New Roman" w:hAnsi="Times New Roman" w:eastAsia="Times New Roman" w:cs="Times New Roman"/>
                <w:b w:val="0"/>
                <w:i w:val="0"/>
                <w:sz w:val="12"/>
              </w:rPr>
              <w:t>1392.4</w:t>
            </w:r>
          </w:p>
        </w:tc>
        <w:tc>
          <w:tcPr>
            <w:tcW w:type="dxa" w:w="1109"/>
            <w:vAlign w:val="center"/>
          </w:tcPr>
          <w:p>
            <w:pPr>
              <w:pStyle w:val="tablecopy"/>
              <w:jc w:val="left"/>
            </w:pPr>
            <w:r>
              <w:rPr>
                <w:rFonts w:ascii="Times New Roman" w:hAnsi="Times New Roman" w:eastAsia="Times New Roman" w:cs="Times New Roman"/>
                <w:b w:val="0"/>
                <w:i w:val="0"/>
                <w:sz w:val="12"/>
              </w:rPr>
              <w:t>length</w:t>
            </w:r>
          </w:p>
        </w:tc>
        <w:tc>
          <w:tcPr>
            <w:tcW w:type="dxa" w:w="1109"/>
            <w:vAlign w:val="center"/>
          </w:tcPr>
          <w:p>
            <w:pPr>
              <w:pStyle w:val="tablecopy"/>
              <w:jc w:val="left"/>
            </w:pPr>
            <w:r>
              <w:rPr>
                <w:rFonts w:ascii="Times New Roman" w:hAnsi="Times New Roman" w:eastAsia="Times New Roman" w:cs="Times New Roman"/>
                <w:b w:val="0"/>
                <w:i w:val="0"/>
                <w:sz w:val="12"/>
              </w:rPr>
              <w:t>0.0</w:t>
            </w:r>
          </w:p>
        </w:tc>
      </w:tr>
      <w:tr>
        <w:tc>
          <w:tcPr>
            <w:tcW w:type="dxa" w:w="1109"/>
            <w:vAlign w:val="center"/>
          </w:tcPr>
          <w:p>
            <w:pPr>
              <w:pStyle w:val="tablecopy"/>
              <w:jc w:val="left"/>
            </w:pPr>
            <w:r>
              <w:rPr>
                <w:rFonts w:ascii="Times New Roman" w:hAnsi="Times New Roman" w:eastAsia="Times New Roman" w:cs="Times New Roman"/>
                <w:b w:val="0"/>
                <w:i w:val="0"/>
                <w:sz w:val="12"/>
              </w:rPr>
              <w:t>Sequence 2</w:t>
            </w:r>
          </w:p>
        </w:tc>
        <w:tc>
          <w:tcPr>
            <w:tcW w:type="dxa" w:w="1109"/>
            <w:vAlign w:val="center"/>
          </w:tcPr>
          <w:p>
            <w:pPr>
              <w:pStyle w:val="tablecopy"/>
              <w:jc w:val="left"/>
            </w:pPr>
            <w:r>
              <w:rPr>
                <w:rFonts w:ascii="Times New Roman" w:hAnsi="Times New Roman" w:eastAsia="Times New Roman" w:cs="Times New Roman"/>
                <w:b w:val="0"/>
                <w:i w:val="0"/>
                <w:sz w:val="12"/>
              </w:rPr>
              <w:t>1406.9</w:t>
            </w:r>
          </w:p>
        </w:tc>
        <w:tc>
          <w:tcPr>
            <w:tcW w:type="dxa" w:w="1109"/>
            <w:vAlign w:val="center"/>
          </w:tcPr>
          <w:p>
            <w:pPr>
              <w:pStyle w:val="tablecopy"/>
              <w:jc w:val="left"/>
            </w:pPr>
            <w:r>
              <w:rPr>
                <w:rFonts w:ascii="Times New Roman" w:hAnsi="Times New Roman" w:eastAsia="Times New Roman" w:cs="Times New Roman"/>
                <w:b w:val="0"/>
                <w:i w:val="0"/>
                <w:sz w:val="12"/>
              </w:rPr>
              <w:t>length</w:t>
            </w:r>
          </w:p>
        </w:tc>
        <w:tc>
          <w:tcPr>
            <w:tcW w:type="dxa" w:w="1109"/>
            <w:vAlign w:val="center"/>
          </w:tcPr>
          <w:p>
            <w:pPr>
              <w:pStyle w:val="tablecopy"/>
              <w:jc w:val="left"/>
            </w:pPr>
            <w:r>
              <w:rPr>
                <w:rFonts w:ascii="Times New Roman" w:hAnsi="Times New Roman" w:eastAsia="Times New Roman" w:cs="Times New Roman"/>
                <w:b w:val="0"/>
                <w:i w:val="0"/>
                <w:sz w:val="12"/>
              </w:rPr>
              <w:t>0.0</w:t>
            </w:r>
          </w:p>
        </w:tc>
      </w:tr>
      <w:tr>
        <w:tc>
          <w:tcPr>
            <w:tcW w:type="dxa" w:w="1109"/>
            <w:vAlign w:val="center"/>
          </w:tcPr>
          <w:p>
            <w:pPr>
              <w:pStyle w:val="tablecopy"/>
              <w:jc w:val="left"/>
            </w:pPr>
            <w:r>
              <w:rPr>
                <w:rFonts w:ascii="Times New Roman" w:hAnsi="Times New Roman" w:eastAsia="Times New Roman" w:cs="Times New Roman"/>
                <w:b w:val="0"/>
                <w:i w:val="0"/>
                <w:sz w:val="12"/>
              </w:rPr>
              <w:t>Recovery</w:t>
            </w:r>
          </w:p>
        </w:tc>
        <w:tc>
          <w:tcPr>
            <w:tcW w:type="dxa" w:w="1109"/>
            <w:vAlign w:val="center"/>
          </w:tcPr>
          <w:p>
            <w:pPr>
              <w:pStyle w:val="tablecopy"/>
              <w:jc w:val="left"/>
            </w:pPr>
            <w:r>
              <w:rPr>
                <w:rFonts w:ascii="Times New Roman" w:hAnsi="Times New Roman" w:eastAsia="Times New Roman" w:cs="Times New Roman"/>
                <w:b w:val="0"/>
                <w:i w:val="0"/>
                <w:sz w:val="12"/>
              </w:rPr>
              <w:t>1410.5</w:t>
            </w:r>
          </w:p>
        </w:tc>
        <w:tc>
          <w:tcPr>
            <w:tcW w:type="dxa" w:w="1109"/>
            <w:vAlign w:val="center"/>
          </w:tcPr>
          <w:p>
            <w:pPr>
              <w:pStyle w:val="tablecopy"/>
              <w:jc w:val="left"/>
            </w:pPr>
            <w:r>
              <w:rPr>
                <w:rFonts w:ascii="Times New Roman" w:hAnsi="Times New Roman" w:eastAsia="Times New Roman" w:cs="Times New Roman"/>
                <w:b w:val="0"/>
                <w:i w:val="0"/>
                <w:sz w:val="12"/>
              </w:rPr>
              <w:t>length</w:t>
            </w:r>
          </w:p>
        </w:tc>
        <w:tc>
          <w:tcPr>
            <w:tcW w:type="dxa" w:w="1109"/>
            <w:vAlign w:val="center"/>
          </w:tcPr>
          <w:p>
            <w:pPr>
              <w:pStyle w:val="tablecopy"/>
              <w:jc w:val="left"/>
            </w:pPr>
            <w:r>
              <w:rPr>
                <w:rFonts w:ascii="Times New Roman" w:hAnsi="Times New Roman" w:eastAsia="Times New Roman" w:cs="Times New Roman"/>
                <w:b w:val="0"/>
                <w:i w:val="0"/>
                <w:sz w:val="12"/>
              </w:rPr>
              <w:t>0.0</w:t>
            </w:r>
          </w:p>
        </w:tc>
      </w:tr>
    </w:tbl>
    <w:p>
      <w:pPr>
        <w:spacing w:after="60"/>
      </w:pPr>
    </w:p>
    <w:p>
      <w:pPr>
        <w:pStyle w:val="Heading2"/>
        <w:keepNext/>
        <w:spacing w:before="40" w:after="40"/>
        <w:jc w:val="left"/>
      </w:pPr>
      <w:r>
        <w:rPr>
          <w:rFonts w:ascii="Times New Roman" w:hAnsi="Times New Roman" w:eastAsia="Times New Roman" w:cs="Times New Roman"/>
          <w:b/>
          <w:i w:val="0"/>
          <w:sz w:val="16"/>
        </w:rPr>
        <w:t>B. Interpretation</w:t>
      </w:r>
    </w:p>
    <w:p>
      <w:pPr>
        <w:pStyle w:val="BodyText"/>
        <w:spacing w:after="40" w:line="240" w:lineRule="auto"/>
        <w:ind w:firstLine="173"/>
      </w:pPr>
      <w:r>
        <w:rPr>
          <w:rFonts w:ascii="Times New Roman" w:hAnsi="Times New Roman" w:eastAsia="Times New Roman" w:cs="Times New Roman"/>
          <w:b w:val="0"/>
          <w:i w:val="0"/>
          <w:sz w:val="15"/>
        </w:rPr>
        <w:t>The appropriate conclusion is operational: the platform retained the model finish reasons, detected incomplete inputs to downstream metrics, and serialized explicit nulls with machine-readable reasons. The appropriate non-conclusion is equally important: a detector aggregate of 0.0 under this trace is not evidence that the target resisted injection, because no explicit attack-success outcome was classified. Likewise, a judge failure is not a low behavioral score.</w:t>
      </w:r>
    </w:p>
    <w:p>
      <w:pPr>
        <w:pStyle w:val="BodyText"/>
        <w:spacing w:after="40" w:line="240" w:lineRule="auto"/>
        <w:ind w:firstLine="173"/>
      </w:pPr>
      <w:r>
        <w:rPr>
          <w:rFonts w:ascii="Times New Roman" w:hAnsi="Times New Roman" w:eastAsia="Times New Roman" w:cs="Times New Roman"/>
          <w:b w:val="0"/>
          <w:i w:val="0"/>
          <w:sz w:val="15"/>
        </w:rPr>
        <w:t>All five target stages returned an empty text field with finish reason length. The judge produced structured output for some instruction-following dimensions but failed validation for safety-stance dimensions because the returned dimension did not match the request. The pipeline therefore recorded failed behavioral states, null RC scores with reason missing_required_behavioral_state_dimension, undefined SAEA values with reason missing_required_dimension, null DRAA risk, null PRI scalar, and ASR = null with a zero classified denominator. These are correct system outcomes under the framework’s contracts.</w:t>
      </w:r>
    </w:p>
    <w:p>
      <w:pPr>
        <w:pStyle w:val="BodyText"/>
        <w:spacing w:after="40" w:line="240" w:lineRule="auto"/>
        <w:ind w:firstLine="173"/>
      </w:pPr>
      <w:r>
        <w:rPr>
          <w:rFonts w:ascii="Times New Roman" w:hAnsi="Times New Roman" w:eastAsia="Times New Roman" w:cs="Times New Roman"/>
          <w:b w:val="0"/>
          <w:i w:val="0"/>
          <w:sz w:val="15"/>
        </w:rPr>
        <w:t>The trace confirms that the evaluator does not convert runtime incompleteness into an apparently favorable score. It does not support a claim about qwen3.5:2b security, gemma3:4b judge accuracy, benchmark-level effectiveness, or metric validity.</w:t>
      </w:r>
    </w:p>
    <w:p>
      <w:r>
        <w:rPr>
          <w:rFonts w:ascii="Times New Roman" w:hAnsi="Times New Roman" w:eastAsia="Times New Roman" w:cs="Times New Roman"/>
          <w:b w:val="0"/>
          <w:i w:val="0"/>
          <w:sz w:val="16"/>
        </w:rPr>
        <w:br w:type="page"/>
      </w:r>
    </w:p>
    <w:p>
      <w:pPr>
        <w:pStyle w:val="Heading1"/>
        <w:keepNext/>
        <w:spacing w:before="80" w:after="40"/>
        <w:jc w:val="center"/>
      </w:pPr>
      <w:r>
        <w:rPr>
          <w:rFonts w:ascii="Times New Roman" w:hAnsi="Times New Roman" w:eastAsia="Times New Roman" w:cs="Times New Roman"/>
          <w:b/>
          <w:i w:val="0"/>
          <w:sz w:val="18"/>
        </w:rPr>
        <w:t>VII. DISCUSSION LIMITATIONS AND INTEGRITY CONTROLS</w:t>
      </w:r>
    </w:p>
    <w:p>
      <w:pPr>
        <w:pStyle w:val="BodyText"/>
        <w:spacing w:after="40" w:line="240" w:lineRule="auto"/>
        <w:ind w:firstLine="173"/>
      </w:pPr>
      <w:r>
        <w:rPr>
          <w:rFonts w:ascii="Times New Roman" w:hAnsi="Times New Roman" w:eastAsia="Times New Roman" w:cs="Times New Roman"/>
          <w:b w:val="0"/>
          <w:i w:val="0"/>
          <w:sz w:val="15"/>
        </w:rPr>
        <w:t>Scientific safeguards are implemented at storage, computation, and presentation boundaries. A metric engine receives typed states rather than bare floats, checks applicability before arithmetic, and returns a status and reason alongside any computed value. The API carries these fields to the dashboard, where empty records, API errors, uncalibrated metrics, and unavailable prerequisites have distinct presentations. This reduces the chance that a polished UI inadvertently overstates the evidential status of a result.</w:t>
      </w:r>
    </w:p>
    <w:p>
      <w:pPr>
        <w:pStyle w:val="BodyText"/>
        <w:spacing w:after="40" w:line="240" w:lineRule="auto"/>
        <w:ind w:firstLine="173"/>
      </w:pPr>
      <w:r>
        <w:rPr>
          <w:rFonts w:ascii="Times New Roman" w:hAnsi="Times New Roman" w:eastAsia="Times New Roman" w:cs="Times New Roman"/>
          <w:b w:val="0"/>
          <w:i w:val="0"/>
          <w:sz w:val="15"/>
        </w:rPr>
        <w:t>The local trace provides a concrete safeguard example. Safety-stance judge output failed a dimension-consistency check, and the target output was empty. The system therefore did not calculate a behavioral vector, RC score, SAEA score, DRAA risk, PRI scalar, or ASR. It emitted nulls and typed reasons. This behavior is more informative than a synthetic zero because it differentiates measurement failure from measured absence of an unsafe outcome.</w:t>
      </w:r>
    </w:p>
    <w:p>
      <w:pPr>
        <w:pStyle w:val="BodyText"/>
        <w:spacing w:after="40" w:line="240" w:lineRule="auto"/>
        <w:ind w:firstLine="173"/>
      </w:pPr>
      <w:r>
        <w:rPr>
          <w:rFonts w:ascii="Times New Roman" w:hAnsi="Times New Roman" w:eastAsia="Times New Roman" w:cs="Times New Roman"/>
          <w:b w:val="0"/>
          <w:i w:val="0"/>
          <w:sz w:val="15"/>
        </w:rPr>
        <w:t>The current database and local trace demonstrate engineering integration, not population-level performance. The repository dataset contains three example records, the local execution trace contains one case, and target responses were empty under the recorded generation limit. The trace is useful because it validates the preservation of failure states, but it cannot estimate attack resistance, judge reliability, or metric effectiveness.</w:t>
      </w:r>
    </w:p>
    <w:p>
      <w:pPr>
        <w:pStyle w:val="BodyText"/>
        <w:spacing w:after="40" w:line="240" w:lineRule="auto"/>
        <w:ind w:firstLine="173"/>
      </w:pPr>
      <w:r>
        <w:rPr>
          <w:rFonts w:ascii="Times New Roman" w:hAnsi="Times New Roman" w:eastAsia="Times New Roman" w:cs="Times New Roman"/>
          <w:b w:val="0"/>
          <w:i w:val="0"/>
          <w:sz w:val="15"/>
        </w:rPr>
        <w:t>A substantive empirical study must first define a threat-model-scoped outcome taxonomy and a versioned ASR denominator. It must use a benchmark population with case and family identifiers, lock model and harness configurations, collect independent labels or blinded rater judgments, and evaluate judge agreement. Any learned ML or calibrated DRAA predictor must use leakage-reviewed grouped splits and retain calibration, uncertainty, and coverage diagnostics.</w:t>
      </w:r>
    </w:p>
    <w:p>
      <w:pPr>
        <w:pStyle w:val="BodyText"/>
        <w:spacing w:after="40" w:line="240" w:lineRule="auto"/>
        <w:ind w:firstLine="173"/>
      </w:pPr>
      <w:r>
        <w:rPr>
          <w:rFonts w:ascii="Times New Roman" w:hAnsi="Times New Roman" w:eastAsia="Times New Roman" w:cs="Times New Roman"/>
          <w:b w:val="0"/>
          <w:i w:val="0"/>
          <w:sz w:val="15"/>
        </w:rPr>
        <w:t>The project is therefore ready to support a study, but the study itself remains future work. This limitation is surfaced in the trace, API, and dashboard, where absence of an evaluator output, calibration artifact, or scientific review cannot be mistaken for a favorable numerical result.</w:t>
      </w:r>
    </w:p>
    <w:p>
      <w:pPr>
        <w:pStyle w:val="BodyText"/>
        <w:spacing w:after="40" w:line="240" w:lineRule="auto"/>
        <w:ind w:firstLine="173"/>
      </w:pPr>
      <w:r>
        <w:rPr>
          <w:rFonts w:ascii="Times New Roman" w:hAnsi="Times New Roman" w:eastAsia="Times New Roman" w:cs="Times New Roman"/>
          <w:b w:val="0"/>
          <w:i w:val="0"/>
          <w:sz w:val="15"/>
        </w:rPr>
        <w:t>A research dashboard becomes misleading when it collapses operational status into a score. SecureLLMBench uses a typed availability model so that the user can distinguish not evaluated, not applicable, failed, undefined, unavailable upstream, insufficient data, uncalibrated, and computed values. This model is present in persisted records and frontend components, and it is maintained through metric composition.</w:t>
      </w:r>
    </w:p>
    <w:p>
      <w:pPr>
        <w:keepNext/>
        <w:spacing w:before="100" w:after="20"/>
        <w:jc w:val="center"/>
      </w:pPr>
      <w:r>
        <w:rPr>
          <w:rFonts w:ascii="Times New Roman" w:hAnsi="Times New Roman" w:eastAsia="Times New Roman" w:cs="Times New Roman"/>
          <w:b w:val="0"/>
          <w:i w:val="0"/>
          <w:sz w:val="16"/>
        </w:rPr>
        <w:drawing>
          <wp:inline xmlns:a="http://schemas.openxmlformats.org/drawingml/2006/main" xmlns:pic="http://schemas.openxmlformats.org/drawingml/2006/picture">
            <wp:extent cx="2907792" cy="1647749"/>
            <wp:docPr id="3" name="Picture 3"/>
            <wp:cNvGraphicFramePr>
              <a:graphicFrameLocks noChangeAspect="1"/>
            </wp:cNvGraphicFramePr>
            <a:graphic>
              <a:graphicData uri="http://schemas.openxmlformats.org/drawingml/2006/picture">
                <pic:pic>
                  <pic:nvPicPr>
                    <pic:cNvPr id="0" name="status_matrix.png"/>
                    <pic:cNvPicPr/>
                  </pic:nvPicPr>
                  <pic:blipFill>
                    <a:blip r:embed="rId15"/>
                    <a:stretch>
                      <a:fillRect/>
                    </a:stretch>
                  </pic:blipFill>
                  <pic:spPr>
                    <a:xfrm>
                      <a:off x="0" y="0"/>
                      <a:ext cx="2907792" cy="1647749"/>
                    </a:xfrm>
                    <a:prstGeom prst="rect"/>
                  </pic:spPr>
                </pic:pic>
              </a:graphicData>
            </a:graphic>
          </wp:inline>
        </w:drawing>
      </w:r>
    </w:p>
    <w:p>
      <w:pPr>
        <w:pStyle w:val="figurecaption"/>
        <w:keepLines/>
        <w:spacing w:before="40" w:after="100"/>
        <w:jc w:val="center"/>
      </w:pPr>
      <w:r>
        <w:rPr>
          <w:rFonts w:ascii="Times New Roman" w:hAnsi="Times New Roman" w:eastAsia="Times New Roman" w:cs="Times New Roman"/>
          <w:b w:val="0"/>
          <w:i/>
          <w:sz w:val="14"/>
        </w:rPr>
        <w:t>Fig. 3. Evidence status reported by the current implementation. These states delimit what can be claimed from the available artifacts.</w:t>
      </w:r>
    </w:p>
    <w:p>
      <w:pPr>
        <w:pStyle w:val="Heading2"/>
        <w:keepNext/>
        <w:spacing w:before="40" w:after="40"/>
        <w:jc w:val="left"/>
      </w:pPr>
      <w:r>
        <w:rPr>
          <w:rFonts w:ascii="Times New Roman" w:hAnsi="Times New Roman" w:eastAsia="Times New Roman" w:cs="Times New Roman"/>
          <w:b/>
          <w:i w:val="0"/>
          <w:sz w:val="16"/>
        </w:rPr>
        <w:t>A. Prohibited Shortcuts</w:t>
      </w:r>
    </w:p>
    <w:p>
      <w:pPr>
        <w:pStyle w:val="BodyText"/>
        <w:spacing w:after="40" w:line="240" w:lineRule="auto"/>
        <w:ind w:firstLine="173"/>
      </w:pPr>
      <w:r>
        <w:rPr>
          <w:rFonts w:ascii="Times New Roman" w:hAnsi="Times New Roman" w:eastAsia="Times New Roman" w:cs="Times New Roman"/>
          <w:b w:val="0"/>
          <w:i w:val="0"/>
          <w:sz w:val="15"/>
        </w:rPr>
        <w:t>The codebase does not contain a default formula that combines Layer 1, Layer 2, BSDA, RC, and SAEA into a single risk number. Such a formula would require a target definition, labelled calibration data, a compatible normalization contract, an uncertainty model, and leakage-controlled validation. Similarly, it does not rank models from partial profiles or re-normalize around only available cells. These omissions are intentional methodological safeguards, not unfinished visual features.</w:t>
      </w:r>
    </w:p>
    <w:p>
      <w:pPr>
        <w:pStyle w:val="BodyText"/>
        <w:spacing w:after="40" w:line="240" w:lineRule="auto"/>
        <w:ind w:firstLine="173"/>
      </w:pPr>
      <w:r>
        <w:rPr>
          <w:rFonts w:ascii="Times New Roman" w:hAnsi="Times New Roman" w:eastAsia="Times New Roman" w:cs="Times New Roman"/>
          <w:b w:val="0"/>
          <w:i w:val="0"/>
          <w:sz w:val="15"/>
        </w:rPr>
        <w:t>The implementation prohibits scalar BSDA composites, DRAA risk scores without a calibration artifact, scalar PRI values, unlabelled ASR, and risk probabilities inferred from bounded judge scores. It also prevents RC from treating blanket refusal as recovery by requiring both safety and helpfulness dimensions. The primary RC result requires retained context, a compatible calibrated applicability floor, and a measurable attack displacement. SAEA keeps interaction and sequence diagnostics separate from a universal security score.</w:t>
      </w:r>
    </w:p>
    <w:p>
      <w:pPr>
        <w:pStyle w:val="Heading2"/>
        <w:keepNext/>
        <w:spacing w:before="40" w:after="40"/>
        <w:jc w:val="left"/>
      </w:pPr>
      <w:r>
        <w:rPr>
          <w:rFonts w:ascii="Times New Roman" w:hAnsi="Times New Roman" w:eastAsia="Times New Roman" w:cs="Times New Roman"/>
          <w:b/>
          <w:i w:val="0"/>
          <w:sz w:val="16"/>
        </w:rPr>
        <w:t>B. Claim Matrix</w:t>
      </w:r>
    </w:p>
    <w:p>
      <w:pPr>
        <w:pStyle w:val="figurecaption"/>
        <w:keepLines/>
        <w:spacing w:before="40" w:after="100"/>
        <w:jc w:val="center"/>
      </w:pPr>
      <w:r>
        <w:rPr>
          <w:rFonts w:ascii="Times New Roman" w:hAnsi="Times New Roman" w:eastAsia="Times New Roman" w:cs="Times New Roman"/>
          <w:b w:val="0"/>
          <w:i/>
          <w:sz w:val="14"/>
        </w:rPr>
        <w:t>TABLE IV. What the present artifacts do and do not substantiate.</w:t>
      </w:r>
    </w:p>
    <w:tbl>
      <w:tblPr>
        <w:tblW w:type="auto" w:w="0"/>
        <w:tblLayout w:type="fixed"/>
        <w:tblLook w:firstColumn="1" w:firstRow="1" w:lastColumn="0" w:lastRow="0" w:noHBand="0" w:noVBand="1" w:val="04A0"/>
      </w:tblPr>
      <w:tblGrid>
        <w:gridCol w:w="3373"/>
        <w:gridCol w:w="3373"/>
        <w:gridCol w:w="3373"/>
      </w:tblGrid>
      <w:tr>
        <w:tc>
          <w:tcPr>
            <w:tcW w:type="dxa" w:w="1478"/>
            <w:vAlign w:val="center"/>
          </w:tcPr>
          <w:p>
            <w:pPr>
              <w:pStyle w:val="tablecolhead"/>
              <w:jc w:val="center"/>
            </w:pPr>
            <w:r>
              <w:rPr>
                <w:rFonts w:ascii="Times New Roman" w:hAnsi="Times New Roman" w:eastAsia="Times New Roman" w:cs="Times New Roman"/>
                <w:b/>
                <w:i w:val="0"/>
                <w:sz w:val="12"/>
              </w:rPr>
              <w:t>Potential claim</w:t>
            </w:r>
          </w:p>
        </w:tc>
        <w:tc>
          <w:tcPr>
            <w:tcW w:type="dxa" w:w="1478"/>
            <w:vAlign w:val="center"/>
          </w:tcPr>
          <w:p>
            <w:pPr>
              <w:pStyle w:val="tablecolhead"/>
              <w:jc w:val="center"/>
            </w:pPr>
            <w:r>
              <w:rPr>
                <w:rFonts w:ascii="Times New Roman" w:hAnsi="Times New Roman" w:eastAsia="Times New Roman" w:cs="Times New Roman"/>
                <w:b/>
                <w:i w:val="0"/>
                <w:sz w:val="12"/>
              </w:rPr>
              <w:t>Evidence now</w:t>
            </w:r>
          </w:p>
        </w:tc>
        <w:tc>
          <w:tcPr>
            <w:tcW w:type="dxa" w:w="1478"/>
            <w:vAlign w:val="center"/>
          </w:tcPr>
          <w:p>
            <w:pPr>
              <w:pStyle w:val="tablecolhead"/>
              <w:jc w:val="center"/>
            </w:pPr>
            <w:r>
              <w:rPr>
                <w:rFonts w:ascii="Times New Roman" w:hAnsi="Times New Roman" w:eastAsia="Times New Roman" w:cs="Times New Roman"/>
                <w:b/>
                <w:i w:val="0"/>
                <w:sz w:val="12"/>
              </w:rPr>
              <w:t>Decision</w:t>
            </w:r>
          </w:p>
        </w:tc>
      </w:tr>
      <w:tr>
        <w:tc>
          <w:tcPr>
            <w:tcW w:type="dxa" w:w="1478"/>
            <w:vAlign w:val="center"/>
          </w:tcPr>
          <w:p>
            <w:pPr>
              <w:pStyle w:val="tablecopy"/>
              <w:jc w:val="left"/>
            </w:pPr>
            <w:r>
              <w:rPr>
                <w:rFonts w:ascii="Times New Roman" w:hAnsi="Times New Roman" w:eastAsia="Times New Roman" w:cs="Times New Roman"/>
                <w:b w:val="0"/>
                <w:i w:val="0"/>
                <w:sz w:val="12"/>
              </w:rPr>
              <w:t>Software traceability</w:t>
            </w:r>
          </w:p>
        </w:tc>
        <w:tc>
          <w:tcPr>
            <w:tcW w:type="dxa" w:w="1478"/>
            <w:vAlign w:val="center"/>
          </w:tcPr>
          <w:p>
            <w:pPr>
              <w:pStyle w:val="tablecopy"/>
              <w:jc w:val="left"/>
            </w:pPr>
            <w:r>
              <w:rPr>
                <w:rFonts w:ascii="Times New Roman" w:hAnsi="Times New Roman" w:eastAsia="Times New Roman" w:cs="Times New Roman"/>
                <w:b w:val="0"/>
                <w:i w:val="0"/>
                <w:sz w:val="12"/>
              </w:rPr>
              <w:t>Versioned records, tests, API, dashboard</w:t>
            </w:r>
          </w:p>
        </w:tc>
        <w:tc>
          <w:tcPr>
            <w:tcW w:type="dxa" w:w="1478"/>
            <w:vAlign w:val="center"/>
          </w:tcPr>
          <w:p>
            <w:pPr>
              <w:pStyle w:val="tablecopy"/>
              <w:jc w:val="left"/>
            </w:pPr>
            <w:r>
              <w:rPr>
                <w:rFonts w:ascii="Times New Roman" w:hAnsi="Times New Roman" w:eastAsia="Times New Roman" w:cs="Times New Roman"/>
                <w:b w:val="0"/>
                <w:i w:val="0"/>
                <w:sz w:val="12"/>
              </w:rPr>
              <w:t>Supported engineering claim</w:t>
            </w:r>
          </w:p>
        </w:tc>
      </w:tr>
      <w:tr>
        <w:tc>
          <w:tcPr>
            <w:tcW w:type="dxa" w:w="1478"/>
            <w:vAlign w:val="center"/>
          </w:tcPr>
          <w:p>
            <w:pPr>
              <w:pStyle w:val="tablecopy"/>
              <w:jc w:val="left"/>
            </w:pPr>
            <w:r>
              <w:rPr>
                <w:rFonts w:ascii="Times New Roman" w:hAnsi="Times New Roman" w:eastAsia="Times New Roman" w:cs="Times New Roman"/>
                <w:b w:val="0"/>
                <w:i w:val="0"/>
                <w:sz w:val="12"/>
              </w:rPr>
              <w:t>Local execution works</w:t>
            </w:r>
          </w:p>
        </w:tc>
        <w:tc>
          <w:tcPr>
            <w:tcW w:type="dxa" w:w="1478"/>
            <w:vAlign w:val="center"/>
          </w:tcPr>
          <w:p>
            <w:pPr>
              <w:pStyle w:val="tablecopy"/>
              <w:jc w:val="left"/>
            </w:pPr>
            <w:r>
              <w:rPr>
                <w:rFonts w:ascii="Times New Roman" w:hAnsi="Times New Roman" w:eastAsia="Times New Roman" w:cs="Times New Roman"/>
                <w:b w:val="0"/>
                <w:i w:val="0"/>
                <w:sz w:val="12"/>
              </w:rPr>
              <w:t>Ollama trace and smoke checks</w:t>
            </w:r>
          </w:p>
        </w:tc>
        <w:tc>
          <w:tcPr>
            <w:tcW w:type="dxa" w:w="1478"/>
            <w:vAlign w:val="center"/>
          </w:tcPr>
          <w:p>
            <w:pPr>
              <w:pStyle w:val="tablecopy"/>
              <w:jc w:val="left"/>
            </w:pPr>
            <w:r>
              <w:rPr>
                <w:rFonts w:ascii="Times New Roman" w:hAnsi="Times New Roman" w:eastAsia="Times New Roman" w:cs="Times New Roman"/>
                <w:b w:val="0"/>
                <w:i w:val="0"/>
                <w:sz w:val="12"/>
              </w:rPr>
              <w:t>Supported engineering claim</w:t>
            </w:r>
          </w:p>
        </w:tc>
      </w:tr>
      <w:tr>
        <w:tc>
          <w:tcPr>
            <w:tcW w:type="dxa" w:w="1478"/>
            <w:vAlign w:val="center"/>
          </w:tcPr>
          <w:p>
            <w:pPr>
              <w:pStyle w:val="tablecopy"/>
              <w:jc w:val="left"/>
            </w:pPr>
            <w:r>
              <w:rPr>
                <w:rFonts w:ascii="Times New Roman" w:hAnsi="Times New Roman" w:eastAsia="Times New Roman" w:cs="Times New Roman"/>
                <w:b w:val="0"/>
                <w:i w:val="0"/>
                <w:sz w:val="12"/>
              </w:rPr>
              <w:t>Model is secure</w:t>
            </w:r>
          </w:p>
        </w:tc>
        <w:tc>
          <w:tcPr>
            <w:tcW w:type="dxa" w:w="1478"/>
            <w:vAlign w:val="center"/>
          </w:tcPr>
          <w:p>
            <w:pPr>
              <w:pStyle w:val="tablecopy"/>
              <w:jc w:val="left"/>
            </w:pPr>
            <w:r>
              <w:rPr>
                <w:rFonts w:ascii="Times New Roman" w:hAnsi="Times New Roman" w:eastAsia="Times New Roman" w:cs="Times New Roman"/>
                <w:b w:val="0"/>
                <w:i w:val="0"/>
                <w:sz w:val="12"/>
              </w:rPr>
              <w:t>One incomplete trace; no classified outcomes</w:t>
            </w:r>
          </w:p>
        </w:tc>
        <w:tc>
          <w:tcPr>
            <w:tcW w:type="dxa" w:w="1478"/>
            <w:vAlign w:val="center"/>
          </w:tcPr>
          <w:p>
            <w:pPr>
              <w:pStyle w:val="tablecopy"/>
              <w:jc w:val="left"/>
            </w:pPr>
            <w:r>
              <w:rPr>
                <w:rFonts w:ascii="Times New Roman" w:hAnsi="Times New Roman" w:eastAsia="Times New Roman" w:cs="Times New Roman"/>
                <w:b w:val="0"/>
                <w:i w:val="0"/>
                <w:sz w:val="12"/>
              </w:rPr>
              <w:t>Not supported</w:t>
            </w:r>
          </w:p>
        </w:tc>
      </w:tr>
      <w:tr>
        <w:tc>
          <w:tcPr>
            <w:tcW w:type="dxa" w:w="1478"/>
            <w:vAlign w:val="center"/>
          </w:tcPr>
          <w:p>
            <w:pPr>
              <w:pStyle w:val="tablecopy"/>
              <w:jc w:val="left"/>
            </w:pPr>
            <w:r>
              <w:rPr>
                <w:rFonts w:ascii="Times New Roman" w:hAnsi="Times New Roman" w:eastAsia="Times New Roman" w:cs="Times New Roman"/>
                <w:b w:val="0"/>
                <w:i w:val="0"/>
                <w:sz w:val="12"/>
              </w:rPr>
              <w:t>Metric is valid</w:t>
            </w:r>
          </w:p>
        </w:tc>
        <w:tc>
          <w:tcPr>
            <w:tcW w:type="dxa" w:w="1478"/>
            <w:vAlign w:val="center"/>
          </w:tcPr>
          <w:p>
            <w:pPr>
              <w:pStyle w:val="tablecopy"/>
              <w:jc w:val="left"/>
            </w:pPr>
            <w:r>
              <w:rPr>
                <w:rFonts w:ascii="Times New Roman" w:hAnsi="Times New Roman" w:eastAsia="Times New Roman" w:cs="Times New Roman"/>
                <w:b w:val="0"/>
                <w:i w:val="0"/>
                <w:sz w:val="12"/>
              </w:rPr>
              <w:t>Formula/runtime tests only</w:t>
            </w:r>
          </w:p>
        </w:tc>
        <w:tc>
          <w:tcPr>
            <w:tcW w:type="dxa" w:w="1478"/>
            <w:vAlign w:val="center"/>
          </w:tcPr>
          <w:p>
            <w:pPr>
              <w:pStyle w:val="tablecopy"/>
              <w:jc w:val="left"/>
            </w:pPr>
            <w:r>
              <w:rPr>
                <w:rFonts w:ascii="Times New Roman" w:hAnsi="Times New Roman" w:eastAsia="Times New Roman" w:cs="Times New Roman"/>
                <w:b w:val="0"/>
                <w:i w:val="0"/>
                <w:sz w:val="12"/>
              </w:rPr>
              <w:t>Not supported</w:t>
            </w:r>
          </w:p>
        </w:tc>
      </w:tr>
      <w:tr>
        <w:tc>
          <w:tcPr>
            <w:tcW w:type="dxa" w:w="1478"/>
            <w:vAlign w:val="center"/>
          </w:tcPr>
          <w:p>
            <w:pPr>
              <w:pStyle w:val="tablecopy"/>
              <w:jc w:val="left"/>
            </w:pPr>
            <w:r>
              <w:rPr>
                <w:rFonts w:ascii="Times New Roman" w:hAnsi="Times New Roman" w:eastAsia="Times New Roman" w:cs="Times New Roman"/>
                <w:b w:val="0"/>
                <w:i w:val="0"/>
                <w:sz w:val="12"/>
              </w:rPr>
              <w:t>Model ranking</w:t>
            </w:r>
          </w:p>
        </w:tc>
        <w:tc>
          <w:tcPr>
            <w:tcW w:type="dxa" w:w="1478"/>
            <w:vAlign w:val="center"/>
          </w:tcPr>
          <w:p>
            <w:pPr>
              <w:pStyle w:val="tablecopy"/>
              <w:jc w:val="left"/>
            </w:pPr>
            <w:r>
              <w:rPr>
                <w:rFonts w:ascii="Times New Roman" w:hAnsi="Times New Roman" w:eastAsia="Times New Roman" w:cs="Times New Roman"/>
                <w:b w:val="0"/>
                <w:i w:val="0"/>
                <w:sz w:val="12"/>
              </w:rPr>
              <w:t>No comparable validated benchmark population</w:t>
            </w:r>
          </w:p>
        </w:tc>
        <w:tc>
          <w:tcPr>
            <w:tcW w:type="dxa" w:w="1478"/>
            <w:vAlign w:val="center"/>
          </w:tcPr>
          <w:p>
            <w:pPr>
              <w:pStyle w:val="tablecopy"/>
              <w:jc w:val="left"/>
            </w:pPr>
            <w:r>
              <w:rPr>
                <w:rFonts w:ascii="Times New Roman" w:hAnsi="Times New Roman" w:eastAsia="Times New Roman" w:cs="Times New Roman"/>
                <w:b w:val="0"/>
                <w:i w:val="0"/>
                <w:sz w:val="12"/>
              </w:rPr>
              <w:t>Not supported</w:t>
            </w:r>
          </w:p>
        </w:tc>
      </w:tr>
      <w:tr>
        <w:tc>
          <w:tcPr>
            <w:tcW w:type="dxa" w:w="1478"/>
            <w:vAlign w:val="center"/>
          </w:tcPr>
          <w:p>
            <w:pPr>
              <w:pStyle w:val="tablecopy"/>
              <w:jc w:val="left"/>
            </w:pPr>
            <w:r>
              <w:rPr>
                <w:rFonts w:ascii="Times New Roman" w:hAnsi="Times New Roman" w:eastAsia="Times New Roman" w:cs="Times New Roman"/>
                <w:b w:val="0"/>
                <w:i w:val="0"/>
                <w:sz w:val="12"/>
              </w:rPr>
              <w:t>Risk probability</w:t>
            </w:r>
          </w:p>
        </w:tc>
        <w:tc>
          <w:tcPr>
            <w:tcW w:type="dxa" w:w="1478"/>
            <w:vAlign w:val="center"/>
          </w:tcPr>
          <w:p>
            <w:pPr>
              <w:pStyle w:val="tablecopy"/>
              <w:jc w:val="left"/>
            </w:pPr>
            <w:r>
              <w:rPr>
                <w:rFonts w:ascii="Times New Roman" w:hAnsi="Times New Roman" w:eastAsia="Times New Roman" w:cs="Times New Roman"/>
                <w:b w:val="0"/>
                <w:i w:val="0"/>
                <w:sz w:val="12"/>
              </w:rPr>
              <w:t>No target labels or calibrated model</w:t>
            </w:r>
          </w:p>
        </w:tc>
        <w:tc>
          <w:tcPr>
            <w:tcW w:type="dxa" w:w="1478"/>
            <w:vAlign w:val="center"/>
          </w:tcPr>
          <w:p>
            <w:pPr>
              <w:pStyle w:val="tablecopy"/>
              <w:jc w:val="left"/>
            </w:pPr>
            <w:r>
              <w:rPr>
                <w:rFonts w:ascii="Times New Roman" w:hAnsi="Times New Roman" w:eastAsia="Times New Roman" w:cs="Times New Roman"/>
                <w:b w:val="0"/>
                <w:i w:val="0"/>
                <w:sz w:val="12"/>
              </w:rPr>
              <w:t>Not supported</w:t>
            </w:r>
          </w:p>
        </w:tc>
      </w:tr>
    </w:tbl>
    <w:p>
      <w:pPr>
        <w:spacing w:after="60"/>
      </w:pPr>
    </w:p>
    <w:p>
      <w:pPr>
        <w:pStyle w:val="Heading2"/>
        <w:keepNext/>
        <w:spacing w:before="40" w:after="40"/>
        <w:jc w:val="left"/>
      </w:pPr>
      <w:r>
        <w:rPr>
          <w:rFonts w:ascii="Times New Roman" w:hAnsi="Times New Roman" w:eastAsia="Times New Roman" w:cs="Times New Roman"/>
          <w:b/>
          <w:i w:val="0"/>
          <w:sz w:val="16"/>
        </w:rPr>
        <w:t>C. Threats to Validity</w:t>
      </w:r>
    </w:p>
    <w:p>
      <w:pPr>
        <w:pStyle w:val="BodyText"/>
        <w:spacing w:after="40" w:line="240" w:lineRule="auto"/>
        <w:ind w:firstLine="173"/>
      </w:pPr>
      <w:r>
        <w:rPr>
          <w:rFonts w:ascii="Times New Roman" w:hAnsi="Times New Roman" w:eastAsia="Times New Roman" w:cs="Times New Roman"/>
          <w:b w:val="0"/>
          <w:i w:val="0"/>
          <w:sz w:val="15"/>
        </w:rPr>
        <w:t>External validity is limited by the current example dataset and the absence of a defined benchmark population. Construct validity is limited by unvalidated judge and metric mappings. Statistical conclusion validity is limited by the lack of repeated independent sessions, approved outcome labels, and a preregistered plan. The paper therefore reports implementation evidence and directs empirical claims to a subsequent study with a declared population, protocol, and validation design.</w:t>
      </w:r>
    </w:p>
    <w:p>
      <w:pPr>
        <w:pStyle w:val="BodyText"/>
        <w:spacing w:after="40" w:line="240" w:lineRule="auto"/>
        <w:ind w:firstLine="173"/>
      </w:pPr>
      <w:r>
        <w:rPr>
          <w:rFonts w:ascii="Times New Roman" w:hAnsi="Times New Roman" w:eastAsia="Times New Roman" w:cs="Times New Roman"/>
          <w:b w:val="0"/>
          <w:i w:val="0"/>
          <w:sz w:val="15"/>
        </w:rPr>
        <w:t>The current dataset is a three-record repository engineering example, not a validated corpus. The local trace contains one case. Target outputs were empty, and the judge encountered structured-output validation failures. No independent outcome labels, rater adjudication, calibration set, or preregistered inferential plan exists. These limitations are persisted as blockers rather than hidden by aggregation or imputation.</w:t>
      </w:r>
    </w:p>
    <w:p>
      <w:r>
        <w:rPr>
          <w:rFonts w:ascii="Times New Roman" w:hAnsi="Times New Roman" w:eastAsia="Times New Roman" w:cs="Times New Roman"/>
          <w:b w:val="0"/>
          <w:i w:val="0"/>
          <w:sz w:val="16"/>
        </w:rPr>
        <w:br w:type="page"/>
      </w:r>
    </w:p>
    <w:p>
      <w:pPr>
        <w:pStyle w:val="Heading1"/>
        <w:keepNext/>
        <w:spacing w:before="80" w:after="40"/>
        <w:jc w:val="center"/>
      </w:pPr>
      <w:r>
        <w:rPr>
          <w:rFonts w:ascii="Times New Roman" w:hAnsi="Times New Roman" w:eastAsia="Times New Roman" w:cs="Times New Roman"/>
          <w:b/>
          <w:i w:val="0"/>
          <w:sz w:val="18"/>
        </w:rPr>
        <w:t>VIII. REPRODUCIBILITY AND ARTIFACT AVAILABILITY</w:t>
      </w:r>
    </w:p>
    <w:p>
      <w:pPr>
        <w:pStyle w:val="BodyText"/>
        <w:spacing w:after="40" w:line="240" w:lineRule="auto"/>
        <w:ind w:firstLine="173"/>
      </w:pPr>
      <w:r>
        <w:rPr>
          <w:rFonts w:ascii="Times New Roman" w:hAnsi="Times New Roman" w:eastAsia="Times New Roman" w:cs="Times New Roman"/>
          <w:b w:val="0"/>
          <w:i w:val="0"/>
          <w:sz w:val="15"/>
        </w:rPr>
        <w:t>Reproducibility is supported at three levels. Unit tests check deterministic calculations and failure handling. Smoke tests check health, API behavior, and persisted-record paths. The paper runner writes a portable trace containing prompt stages, response metadata, detector evidence, judge measurements, metric outputs, status reasons, and blockers. A separate analysis command consumes that trace and reports descriptive summaries without upgrading them into confirmatory results.</w:t>
      </w:r>
    </w:p>
    <w:p>
      <w:pPr>
        <w:pStyle w:val="BodyText"/>
        <w:spacing w:after="40" w:line="240" w:lineRule="auto"/>
        <w:ind w:firstLine="173"/>
      </w:pPr>
      <w:r>
        <w:rPr>
          <w:rFonts w:ascii="Times New Roman" w:hAnsi="Times New Roman" w:eastAsia="Times New Roman" w:cs="Times New Roman"/>
          <w:b w:val="0"/>
          <w:i w:val="0"/>
          <w:sz w:val="15"/>
        </w:rPr>
        <w:t>The fixture-runner path uses deterministic mock inference and mock judging to test trace shape and null handling. The local-runner path invokes only installed Ollama models and retains their provider metadata. Both paths write JSON that can be reviewed without a running dashboard. The analysis command identifies insufficient data for BSDA components, invalid paired input for the requested correlation, null ASR, and blocked supervised ML claims when their inputs are absent.</w:t>
      </w:r>
    </w:p>
    <w:p>
      <w:pPr>
        <w:pStyle w:val="BodyText"/>
        <w:spacing w:after="40" w:line="240" w:lineRule="auto"/>
        <w:ind w:firstLine="173"/>
      </w:pPr>
      <w:r>
        <w:rPr>
          <w:rFonts w:ascii="Times New Roman" w:hAnsi="Times New Roman" w:eastAsia="Times New Roman" w:cs="Times New Roman"/>
          <w:b w:val="0"/>
          <w:i w:val="0"/>
          <w:sz w:val="15"/>
        </w:rPr>
        <w:t>The repository contains a fixture dry-run, a local-Ollama runner, trace analysis scripts, unit tests, API smoke checks, and frontend typecheck, lint, test, and production-build commands. The verified software suite contains 129 passing Python tests and 19 passing frontend tests, together with successful typecheck, lint, build, API smoke, and local server checks. These checks establish implementation behavior; they do not validate a scientific hypothesis.</w:t>
      </w:r>
    </w:p>
    <w:p>
      <w:pPr>
        <w:pStyle w:val="Heading2"/>
        <w:keepNext/>
        <w:spacing w:before="40" w:after="40"/>
        <w:jc w:val="left"/>
      </w:pPr>
      <w:r>
        <w:rPr>
          <w:rFonts w:ascii="Times New Roman" w:hAnsi="Times New Roman" w:eastAsia="Times New Roman" w:cs="Times New Roman"/>
          <w:b/>
          <w:i w:val="0"/>
          <w:sz w:val="16"/>
        </w:rPr>
        <w:t>A. Reproduction Procedure</w:t>
      </w:r>
    </w:p>
    <w:p>
      <w:pPr>
        <w:pStyle w:val="BodyText"/>
        <w:spacing w:after="40" w:line="240" w:lineRule="auto"/>
        <w:ind w:firstLine="173"/>
      </w:pPr>
      <w:r>
        <w:rPr>
          <w:rFonts w:ascii="Times New Roman" w:hAnsi="Times New Roman" w:eastAsia="Times New Roman" w:cs="Times New Roman"/>
          <w:b w:val="0"/>
          <w:i w:val="0"/>
          <w:sz w:val="15"/>
        </w:rPr>
        <w:t>The verified repository run completed 129 Python tests and 19 frontend tests. Frontend typecheck, lint, production build, API smoke checks, and local service checks also completed successfully. These verification counts demonstrate that the current implementation contracts are exercised; they should not be cited as evidence for safety effectiveness. Re-running the local experiment requires installed target and judge models and produces a new trace with its own model and dataset provenance.</w:t>
      </w:r>
    </w:p>
    <w:p>
      <w:pPr>
        <w:pStyle w:val="figurecaption"/>
        <w:keepLines/>
        <w:spacing w:before="40" w:after="100"/>
        <w:jc w:val="center"/>
      </w:pPr>
      <w:r>
        <w:rPr>
          <w:rFonts w:ascii="Times New Roman" w:hAnsi="Times New Roman" w:eastAsia="Times New Roman" w:cs="Times New Roman"/>
          <w:b w:val="0"/>
          <w:i/>
          <w:sz w:val="14"/>
        </w:rPr>
        <w:t>TABLE V. Reproduction sequence. Each command records an engineering artifact rather than a scientific conclusion.</w:t>
      </w:r>
    </w:p>
    <w:tbl>
      <w:tblPr>
        <w:tblW w:type="auto" w:w="0"/>
        <w:tblLayout w:type="fixed"/>
        <w:tblLook w:firstColumn="1" w:firstRow="1" w:lastColumn="0" w:lastRow="0" w:noHBand="0" w:noVBand="1" w:val="04A0"/>
      </w:tblPr>
      <w:tblGrid>
        <w:gridCol w:w="3373"/>
        <w:gridCol w:w="3373"/>
        <w:gridCol w:w="3373"/>
      </w:tblGrid>
      <w:tr>
        <w:tc>
          <w:tcPr>
            <w:tcW w:type="dxa" w:w="1478"/>
            <w:vAlign w:val="center"/>
          </w:tcPr>
          <w:p>
            <w:pPr>
              <w:pStyle w:val="tablecolhead"/>
              <w:jc w:val="center"/>
            </w:pPr>
            <w:r>
              <w:rPr>
                <w:rFonts w:ascii="Times New Roman" w:hAnsi="Times New Roman" w:eastAsia="Times New Roman" w:cs="Times New Roman"/>
                <w:b/>
                <w:i w:val="0"/>
                <w:sz w:val="12"/>
              </w:rPr>
              <w:t>Step</w:t>
            </w:r>
          </w:p>
        </w:tc>
        <w:tc>
          <w:tcPr>
            <w:tcW w:type="dxa" w:w="1478"/>
            <w:vAlign w:val="center"/>
          </w:tcPr>
          <w:p>
            <w:pPr>
              <w:pStyle w:val="tablecolhead"/>
              <w:jc w:val="center"/>
            </w:pPr>
            <w:r>
              <w:rPr>
                <w:rFonts w:ascii="Times New Roman" w:hAnsi="Times New Roman" w:eastAsia="Times New Roman" w:cs="Times New Roman"/>
                <w:b/>
                <w:i w:val="0"/>
                <w:sz w:val="12"/>
              </w:rPr>
              <w:t>Command / artifact</w:t>
            </w:r>
          </w:p>
        </w:tc>
        <w:tc>
          <w:tcPr>
            <w:tcW w:type="dxa" w:w="1478"/>
            <w:vAlign w:val="center"/>
          </w:tcPr>
          <w:p>
            <w:pPr>
              <w:pStyle w:val="tablecolhead"/>
              <w:jc w:val="center"/>
            </w:pPr>
            <w:r>
              <w:rPr>
                <w:rFonts w:ascii="Times New Roman" w:hAnsi="Times New Roman" w:eastAsia="Times New Roman" w:cs="Times New Roman"/>
                <w:b/>
                <w:i w:val="0"/>
                <w:sz w:val="12"/>
              </w:rPr>
              <w:t>Expected evidence</w:t>
            </w:r>
          </w:p>
        </w:tc>
      </w:tr>
      <w:tr>
        <w:tc>
          <w:tcPr>
            <w:tcW w:type="dxa" w:w="1478"/>
            <w:vAlign w:val="center"/>
          </w:tcPr>
          <w:p>
            <w:pPr>
              <w:pStyle w:val="tablecopy"/>
              <w:jc w:val="left"/>
            </w:pPr>
            <w:r>
              <w:rPr>
                <w:rFonts w:ascii="Times New Roman" w:hAnsi="Times New Roman" w:eastAsia="Times New Roman" w:cs="Times New Roman"/>
                <w:b w:val="0"/>
                <w:i w:val="0"/>
                <w:sz w:val="12"/>
              </w:rPr>
              <w:t>1</w:t>
            </w:r>
          </w:p>
        </w:tc>
        <w:tc>
          <w:tcPr>
            <w:tcW w:type="dxa" w:w="1478"/>
            <w:vAlign w:val="center"/>
          </w:tcPr>
          <w:p>
            <w:pPr>
              <w:pStyle w:val="tablecopy"/>
              <w:jc w:val="left"/>
            </w:pPr>
            <w:r>
              <w:rPr>
                <w:rFonts w:ascii="Times New Roman" w:hAnsi="Times New Roman" w:eastAsia="Times New Roman" w:cs="Times New Roman"/>
                <w:b w:val="0"/>
                <w:i w:val="0"/>
                <w:sz w:val="12"/>
              </w:rPr>
              <w:t>python -m pytest</w:t>
            </w:r>
          </w:p>
        </w:tc>
        <w:tc>
          <w:tcPr>
            <w:tcW w:type="dxa" w:w="1478"/>
            <w:vAlign w:val="center"/>
          </w:tcPr>
          <w:p>
            <w:pPr>
              <w:pStyle w:val="tablecopy"/>
              <w:jc w:val="left"/>
            </w:pPr>
            <w:r>
              <w:rPr>
                <w:rFonts w:ascii="Times New Roman" w:hAnsi="Times New Roman" w:eastAsia="Times New Roman" w:cs="Times New Roman"/>
                <w:b w:val="0"/>
                <w:i w:val="0"/>
                <w:sz w:val="12"/>
              </w:rPr>
              <w:t>Implementation tests</w:t>
            </w:r>
          </w:p>
        </w:tc>
      </w:tr>
      <w:tr>
        <w:tc>
          <w:tcPr>
            <w:tcW w:type="dxa" w:w="1478"/>
            <w:vAlign w:val="center"/>
          </w:tcPr>
          <w:p>
            <w:pPr>
              <w:pStyle w:val="tablecopy"/>
              <w:jc w:val="left"/>
            </w:pPr>
            <w:r>
              <w:rPr>
                <w:rFonts w:ascii="Times New Roman" w:hAnsi="Times New Roman" w:eastAsia="Times New Roman" w:cs="Times New Roman"/>
                <w:b w:val="0"/>
                <w:i w:val="0"/>
                <w:sz w:val="12"/>
              </w:rPr>
              <w:t>2</w:t>
            </w:r>
          </w:p>
        </w:tc>
        <w:tc>
          <w:tcPr>
            <w:tcW w:type="dxa" w:w="1478"/>
            <w:vAlign w:val="center"/>
          </w:tcPr>
          <w:p>
            <w:pPr>
              <w:pStyle w:val="tablecopy"/>
              <w:jc w:val="left"/>
            </w:pPr>
            <w:r>
              <w:rPr>
                <w:rFonts w:ascii="Times New Roman" w:hAnsi="Times New Roman" w:eastAsia="Times New Roman" w:cs="Times New Roman"/>
                <w:b w:val="0"/>
                <w:i w:val="0"/>
                <w:sz w:val="12"/>
              </w:rPr>
              <w:t>scripts/api_smoke.py</w:t>
            </w:r>
          </w:p>
        </w:tc>
        <w:tc>
          <w:tcPr>
            <w:tcW w:type="dxa" w:w="1478"/>
            <w:vAlign w:val="center"/>
          </w:tcPr>
          <w:p>
            <w:pPr>
              <w:pStyle w:val="tablecopy"/>
              <w:jc w:val="left"/>
            </w:pPr>
            <w:r>
              <w:rPr>
                <w:rFonts w:ascii="Times New Roman" w:hAnsi="Times New Roman" w:eastAsia="Times New Roman" w:cs="Times New Roman"/>
                <w:b w:val="0"/>
                <w:i w:val="0"/>
                <w:sz w:val="12"/>
              </w:rPr>
              <w:t>Health and API contracts</w:t>
            </w:r>
          </w:p>
        </w:tc>
      </w:tr>
      <w:tr>
        <w:tc>
          <w:tcPr>
            <w:tcW w:type="dxa" w:w="1478"/>
            <w:vAlign w:val="center"/>
          </w:tcPr>
          <w:p>
            <w:pPr>
              <w:pStyle w:val="tablecopy"/>
              <w:jc w:val="left"/>
            </w:pPr>
            <w:r>
              <w:rPr>
                <w:rFonts w:ascii="Times New Roman" w:hAnsi="Times New Roman" w:eastAsia="Times New Roman" w:cs="Times New Roman"/>
                <w:b w:val="0"/>
                <w:i w:val="0"/>
                <w:sz w:val="12"/>
              </w:rPr>
              <w:t>3</w:t>
            </w:r>
          </w:p>
        </w:tc>
        <w:tc>
          <w:tcPr>
            <w:tcW w:type="dxa" w:w="1478"/>
            <w:vAlign w:val="center"/>
          </w:tcPr>
          <w:p>
            <w:pPr>
              <w:pStyle w:val="tablecopy"/>
              <w:jc w:val="left"/>
            </w:pPr>
            <w:r>
              <w:rPr>
                <w:rFonts w:ascii="Times New Roman" w:hAnsi="Times New Roman" w:eastAsia="Times New Roman" w:cs="Times New Roman"/>
                <w:b w:val="0"/>
                <w:i w:val="0"/>
                <w:sz w:val="12"/>
              </w:rPr>
              <w:t>run_experiment.py --fixture-dry-run</w:t>
            </w:r>
          </w:p>
        </w:tc>
        <w:tc>
          <w:tcPr>
            <w:tcW w:type="dxa" w:w="1478"/>
            <w:vAlign w:val="center"/>
          </w:tcPr>
          <w:p>
            <w:pPr>
              <w:pStyle w:val="tablecopy"/>
              <w:jc w:val="left"/>
            </w:pPr>
            <w:r>
              <w:rPr>
                <w:rFonts w:ascii="Times New Roman" w:hAnsi="Times New Roman" w:eastAsia="Times New Roman" w:cs="Times New Roman"/>
                <w:b w:val="0"/>
                <w:i w:val="0"/>
                <w:sz w:val="12"/>
              </w:rPr>
              <w:t>Engineering-only trace JSON</w:t>
            </w:r>
          </w:p>
        </w:tc>
      </w:tr>
      <w:tr>
        <w:tc>
          <w:tcPr>
            <w:tcW w:type="dxa" w:w="1478"/>
            <w:vAlign w:val="center"/>
          </w:tcPr>
          <w:p>
            <w:pPr>
              <w:pStyle w:val="tablecopy"/>
              <w:jc w:val="left"/>
            </w:pPr>
            <w:r>
              <w:rPr>
                <w:rFonts w:ascii="Times New Roman" w:hAnsi="Times New Roman" w:eastAsia="Times New Roman" w:cs="Times New Roman"/>
                <w:b w:val="0"/>
                <w:i w:val="0"/>
                <w:sz w:val="12"/>
              </w:rPr>
              <w:t>4</w:t>
            </w:r>
          </w:p>
        </w:tc>
        <w:tc>
          <w:tcPr>
            <w:tcW w:type="dxa" w:w="1478"/>
            <w:vAlign w:val="center"/>
          </w:tcPr>
          <w:p>
            <w:pPr>
              <w:pStyle w:val="tablecopy"/>
              <w:jc w:val="left"/>
            </w:pPr>
            <w:r>
              <w:rPr>
                <w:rFonts w:ascii="Times New Roman" w:hAnsi="Times New Roman" w:eastAsia="Times New Roman" w:cs="Times New Roman"/>
                <w:b w:val="0"/>
                <w:i w:val="0"/>
                <w:sz w:val="12"/>
              </w:rPr>
              <w:t>run_experiment.py --target-model ... --judge-model ...</w:t>
            </w:r>
          </w:p>
        </w:tc>
        <w:tc>
          <w:tcPr>
            <w:tcW w:type="dxa" w:w="1478"/>
            <w:vAlign w:val="center"/>
          </w:tcPr>
          <w:p>
            <w:pPr>
              <w:pStyle w:val="tablecopy"/>
              <w:jc w:val="left"/>
            </w:pPr>
            <w:r>
              <w:rPr>
                <w:rFonts w:ascii="Times New Roman" w:hAnsi="Times New Roman" w:eastAsia="Times New Roman" w:cs="Times New Roman"/>
                <w:b w:val="0"/>
                <w:i w:val="0"/>
                <w:sz w:val="12"/>
              </w:rPr>
              <w:t>Local trace for installed models</w:t>
            </w:r>
          </w:p>
        </w:tc>
      </w:tr>
      <w:tr>
        <w:tc>
          <w:tcPr>
            <w:tcW w:type="dxa" w:w="1478"/>
            <w:vAlign w:val="center"/>
          </w:tcPr>
          <w:p>
            <w:pPr>
              <w:pStyle w:val="tablecopy"/>
              <w:jc w:val="left"/>
            </w:pPr>
            <w:r>
              <w:rPr>
                <w:rFonts w:ascii="Times New Roman" w:hAnsi="Times New Roman" w:eastAsia="Times New Roman" w:cs="Times New Roman"/>
                <w:b w:val="0"/>
                <w:i w:val="0"/>
                <w:sz w:val="12"/>
              </w:rPr>
              <w:t>5</w:t>
            </w:r>
          </w:p>
        </w:tc>
        <w:tc>
          <w:tcPr>
            <w:tcW w:type="dxa" w:w="1478"/>
            <w:vAlign w:val="center"/>
          </w:tcPr>
          <w:p>
            <w:pPr>
              <w:pStyle w:val="tablecopy"/>
              <w:jc w:val="left"/>
            </w:pPr>
            <w:r>
              <w:rPr>
                <w:rFonts w:ascii="Times New Roman" w:hAnsi="Times New Roman" w:eastAsia="Times New Roman" w:cs="Times New Roman"/>
                <w:b w:val="0"/>
                <w:i w:val="0"/>
                <w:sz w:val="12"/>
              </w:rPr>
              <w:t>analyze_results.py --input trace.json</w:t>
            </w:r>
          </w:p>
        </w:tc>
        <w:tc>
          <w:tcPr>
            <w:tcW w:type="dxa" w:w="1478"/>
            <w:vAlign w:val="center"/>
          </w:tcPr>
          <w:p>
            <w:pPr>
              <w:pStyle w:val="tablecopy"/>
              <w:jc w:val="left"/>
            </w:pPr>
            <w:r>
              <w:rPr>
                <w:rFonts w:ascii="Times New Roman" w:hAnsi="Times New Roman" w:eastAsia="Times New Roman" w:cs="Times New Roman"/>
                <w:b w:val="0"/>
                <w:i w:val="0"/>
                <w:sz w:val="12"/>
              </w:rPr>
              <w:t>Descriptive analysis plus blockers</w:t>
            </w:r>
          </w:p>
        </w:tc>
      </w:tr>
      <w:tr>
        <w:tc>
          <w:tcPr>
            <w:tcW w:type="dxa" w:w="1478"/>
            <w:vAlign w:val="center"/>
          </w:tcPr>
          <w:p>
            <w:pPr>
              <w:pStyle w:val="tablecopy"/>
              <w:jc w:val="left"/>
            </w:pPr>
            <w:r>
              <w:rPr>
                <w:rFonts w:ascii="Times New Roman" w:hAnsi="Times New Roman" w:eastAsia="Times New Roman" w:cs="Times New Roman"/>
                <w:b w:val="0"/>
                <w:i w:val="0"/>
                <w:sz w:val="12"/>
              </w:rPr>
              <w:t>6</w:t>
            </w:r>
          </w:p>
        </w:tc>
        <w:tc>
          <w:tcPr>
            <w:tcW w:type="dxa" w:w="1478"/>
            <w:vAlign w:val="center"/>
          </w:tcPr>
          <w:p>
            <w:pPr>
              <w:pStyle w:val="tablecopy"/>
              <w:jc w:val="left"/>
            </w:pPr>
            <w:r>
              <w:rPr>
                <w:rFonts w:ascii="Times New Roman" w:hAnsi="Times New Roman" w:eastAsia="Times New Roman" w:cs="Times New Roman"/>
                <w:b w:val="0"/>
                <w:i w:val="0"/>
                <w:sz w:val="12"/>
              </w:rPr>
              <w:t>frontend typecheck, lint, test, build</w:t>
            </w:r>
          </w:p>
        </w:tc>
        <w:tc>
          <w:tcPr>
            <w:tcW w:type="dxa" w:w="1478"/>
            <w:vAlign w:val="center"/>
          </w:tcPr>
          <w:p>
            <w:pPr>
              <w:pStyle w:val="tablecopy"/>
              <w:jc w:val="left"/>
            </w:pPr>
            <w:r>
              <w:rPr>
                <w:rFonts w:ascii="Times New Roman" w:hAnsi="Times New Roman" w:eastAsia="Times New Roman" w:cs="Times New Roman"/>
                <w:b w:val="0"/>
                <w:i w:val="0"/>
                <w:sz w:val="12"/>
              </w:rPr>
              <w:t>Dashboard integrity</w:t>
            </w:r>
          </w:p>
        </w:tc>
      </w:tr>
    </w:tbl>
    <w:p>
      <w:pPr>
        <w:spacing w:after="60"/>
      </w:pPr>
    </w:p>
    <w:p>
      <w:pPr>
        <w:pStyle w:val="Heading2"/>
        <w:keepNext/>
        <w:spacing w:before="40" w:after="40"/>
        <w:jc w:val="left"/>
      </w:pPr>
      <w:r>
        <w:rPr>
          <w:rFonts w:ascii="Times New Roman" w:hAnsi="Times New Roman" w:eastAsia="Times New Roman" w:cs="Times New Roman"/>
          <w:b/>
          <w:i w:val="0"/>
          <w:sz w:val="16"/>
        </w:rPr>
        <w:t>B. Required Work Before a Research Claim</w:t>
      </w:r>
    </w:p>
    <w:p>
      <w:pPr>
        <w:pStyle w:val="BodyText"/>
        <w:spacing w:after="40" w:line="240" w:lineRule="auto"/>
        <w:ind w:firstLine="173"/>
      </w:pPr>
      <w:r>
        <w:rPr>
          <w:rFonts w:ascii="Times New Roman" w:hAnsi="Times New Roman" w:eastAsia="Times New Roman" w:cs="Times New Roman"/>
          <w:b w:val="0"/>
          <w:i w:val="0"/>
          <w:sz w:val="15"/>
        </w:rPr>
        <w:t>The next empirical study should lock the evaluated model configurations and benchmark taxonomy before execution, define threat-model-scoped outcomes, and record a public or governed protocol for human review. It should evaluate multiple independent cases, preserve attack-family and session groupings during train/test splitting, assess judge agreement against reference labels, and preregister any statistical test, multiple-comparison policy, and confidence-interval procedure. RC and DRAA calibration artifacts must be versioned and validated against compatible evidence.</w:t>
      </w:r>
    </w:p>
    <w:p>
      <w:pPr>
        <w:pStyle w:val="BodyText"/>
        <w:spacing w:after="40" w:line="240" w:lineRule="auto"/>
        <w:ind w:firstLine="173"/>
      </w:pPr>
      <w:r>
        <w:rPr>
          <w:rFonts w:ascii="Times New Roman" w:hAnsi="Times New Roman" w:eastAsia="Times New Roman" w:cs="Times New Roman"/>
          <w:b w:val="0"/>
          <w:i w:val="0"/>
          <w:sz w:val="15"/>
        </w:rPr>
        <w:t>A valid benchmark study needs a versioned threat model, a representative dataset with provenance, locked target and judge models, an approved outcome taxonomy and ASR denominator policy, independent labels or blinded human raters, a compatible RC calibration artifact, matched isolated and sequential trajectories, and a preregistered statistical plan. Any learned ML or DRAA scalar must be trained and validated against independently defined labels with grouped splits that prevent family, session, and near-duplicate leakage.</w:t>
      </w:r>
    </w:p>
    <w:p>
      <w:pPr>
        <w:pStyle w:val="Heading1"/>
        <w:keepNext/>
        <w:spacing w:before="80" w:after="40"/>
        <w:jc w:val="center"/>
      </w:pPr>
      <w:r>
        <w:rPr>
          <w:rFonts w:ascii="Times New Roman" w:hAnsi="Times New Roman" w:eastAsia="Times New Roman" w:cs="Times New Roman"/>
          <w:b/>
          <w:i w:val="0"/>
          <w:sz w:val="18"/>
        </w:rPr>
        <w:t>IX. CONCLUSION</w:t>
      </w:r>
    </w:p>
    <w:p>
      <w:pPr>
        <w:pStyle w:val="BodyText"/>
        <w:spacing w:after="40" w:line="240" w:lineRule="auto"/>
        <w:ind w:firstLine="173"/>
      </w:pPr>
      <w:r>
        <w:rPr>
          <w:rFonts w:ascii="Times New Roman" w:hAnsi="Times New Roman" w:eastAsia="Times New Roman" w:cs="Times New Roman"/>
          <w:b w:val="0"/>
          <w:i w:val="0"/>
          <w:sz w:val="15"/>
        </w:rPr>
        <w:t>The framework’s contribution is a cautious but practical evaluation substrate. It allows a research team to move from a local model call to a dashboard-visible record without losing the conditions under which the call occurred or concealing missing evidence. Its metric runtimes make their assumptions visible, and its null states stop a report from looking more certain than the data permit. This is the appropriate starting point for a conference study whose empirical claims will be made only after the required benchmark, label, calibration, and validation work is completed.</w:t>
      </w:r>
    </w:p>
    <w:p>
      <w:pPr>
        <w:pStyle w:val="BodyText"/>
        <w:spacing w:after="40" w:line="240" w:lineRule="auto"/>
        <w:ind w:firstLine="173"/>
      </w:pPr>
      <w:r>
        <w:rPr>
          <w:rFonts w:ascii="Times New Roman" w:hAnsi="Times New Roman" w:eastAsia="Times New Roman" w:cs="Times New Roman"/>
          <w:b w:val="0"/>
          <w:i w:val="0"/>
          <w:sz w:val="15"/>
        </w:rPr>
        <w:t>SecureLLMBench provides a working foundation for local LLM safety and security evaluation: it runs models, captures a complete trace, computes permitted metric artifacts, preserves provenance, exposes safe read APIs, and renders research data in a dashboard. Its most important current output is disciplined uncertainty. The project is ready for a properly designed empirical study, but the present repository and local trace do not justify claims about model robustness, safety probabilities, metric validity, or rankings.</w:t>
      </w:r>
    </w:p>
    <w:p>
      <w:pPr>
        <w:pStyle w:val="Heading1"/>
        <w:keepNext/>
        <w:spacing w:before="80" w:after="40"/>
        <w:jc w:val="center"/>
      </w:pPr>
      <w:r>
        <w:rPr>
          <w:rFonts w:ascii="Times New Roman" w:hAnsi="Times New Roman" w:eastAsia="Times New Roman" w:cs="Times New Roman"/>
          <w:b/>
          <w:i w:val="0"/>
          <w:sz w:val="18"/>
        </w:rPr>
        <w:t>REFERENCES</w:t>
      </w:r>
    </w:p>
    <w:p>
      <w:pPr>
        <w:pStyle w:val="references"/>
        <w:spacing w:after="40" w:line="240" w:lineRule="auto"/>
      </w:pPr>
      <w:r>
        <w:rPr>
          <w:rFonts w:ascii="Times New Roman" w:hAnsi="Times New Roman" w:eastAsia="Times New Roman" w:cs="Times New Roman"/>
          <w:b w:val="0"/>
          <w:i w:val="0"/>
          <w:sz w:val="14"/>
        </w:rPr>
        <w:t>[1] SecureLLMBench, Repository implementation and reproducibility documentation, 2026.</w:t>
      </w:r>
    </w:p>
    <w:p>
      <w:pPr>
        <w:pStyle w:val="references"/>
        <w:spacing w:after="40" w:line="240" w:lineRule="auto"/>
      </w:pPr>
      <w:r>
        <w:rPr>
          <w:rFonts w:ascii="Times New Roman" w:hAnsi="Times New Roman" w:eastAsia="Times New Roman" w:cs="Times New Roman"/>
          <w:b w:val="0"/>
          <w:i w:val="0"/>
          <w:sz w:val="14"/>
        </w:rPr>
        <w:t>[2] SecureLLMBench, Recovery Capability Reconciled Implementation Specification, 2026.</w:t>
      </w:r>
    </w:p>
    <w:p>
      <w:pPr>
        <w:pStyle w:val="references"/>
        <w:spacing w:after="40" w:line="240" w:lineRule="auto"/>
      </w:pPr>
      <w:r>
        <w:rPr>
          <w:rFonts w:ascii="Times New Roman" w:hAnsi="Times New Roman" w:eastAsia="Times New Roman" w:cs="Times New Roman"/>
          <w:b w:val="0"/>
          <w:i w:val="0"/>
          <w:sz w:val="14"/>
        </w:rPr>
        <w:t>[3] SecureLLMBench, Sequential Attack Evaluation Algorithm Implementation Specification, 2026.</w:t>
      </w:r>
    </w:p>
    <w:p>
      <w:pPr>
        <w:pStyle w:val="references"/>
        <w:spacing w:after="40" w:line="240" w:lineRule="auto"/>
      </w:pPr>
      <w:r>
        <w:rPr>
          <w:rFonts w:ascii="Times New Roman" w:hAnsi="Times New Roman" w:eastAsia="Times New Roman" w:cs="Times New Roman"/>
          <w:b w:val="0"/>
          <w:i w:val="0"/>
          <w:sz w:val="14"/>
        </w:rPr>
        <w:t>[4] SecureLLMBench, DRAA and PRI Methodology-to-Implementation Reconciliations, 2026.</w:t>
      </w:r>
    </w:p>
    <w:p>
      <w:pPr>
        <w:pStyle w:val="references"/>
        <w:spacing w:after="40" w:line="240" w:lineRule="auto"/>
      </w:pPr>
      <w:r>
        <w:rPr>
          <w:rFonts w:ascii="Times New Roman" w:hAnsi="Times New Roman" w:eastAsia="Times New Roman" w:cs="Times New Roman"/>
          <w:b w:val="0"/>
          <w:i w:val="0"/>
          <w:sz w:val="14"/>
        </w:rPr>
        <w:t>[5] FastAPI, SQLAlchemy, React, and Ollama local runtime components, accessed in the implementation environment.</w:t>
      </w:r>
    </w:p>
    <w:sectPr w:rsidR="009303D9" w:rsidSect="003B4E04">
      <w:type w:val="continuous"/>
      <w:pgSz w:w="595.30pt" w:h="841.90pt" w:code="9"/>
      <w:pgMar w:top="540" w:right="893" w:bottom="1440" w:left="893" w:header="36pt" w:footer="36pt" w:gutter="0pt"/>
      <w:cols w:space="72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purl.oclc.org/ooxml/officeDocument/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purl.oclc.org/ooxml/officeDocument/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eastAsia="Times New Roman" w:cs="Times New Roman"/>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rFonts w:ascii="Times New Roman" w:hAnsi="Times New Roman" w:eastAsia="Times New Roman" w:cs="Times New Roman"/>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rFonts w:ascii="Times New Roman" w:hAnsi="Times New Roman" w:eastAsia="Times New Roman" w:cs="Times New Roman"/>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rFonts w:ascii="Times New Roman" w:hAnsi="Times New Roman" w:eastAsia="Times New Roman" w:cs="Times New Roman"/>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rFonts w:ascii="Times New Roman" w:hAnsi="Times New Roman" w:eastAsia="Times New Roman" w:cs="Times New Roman"/>
      <w:i/>
      <w:iCs/>
      <w:noProof/>
    </w:rPr>
  </w:style>
  <w:style w:type="paragraph" w:styleId="Heading5">
    <w:name w:val="heading 5"/>
    <w:basedOn w:val="Normal"/>
    <w:next w:val="Normal"/>
    <w:qFormat/>
    <w:pPr>
      <w:tabs>
        <w:tab w:val="start" w:pos="18pt"/>
      </w:tabs>
      <w:spacing w:before="8pt" w:after="4pt"/>
      <w:outlineLvl w:val="4"/>
    </w:pPr>
    <w:rPr>
      <w:rFonts w:ascii="Times New Roman" w:hAnsi="Times New Roman" w:eastAsia="Times New Roman" w:cs="Times New Roman"/>
      <w:smallCaps/>
      <w:noProof/>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rFonts w:ascii="Times New Roman" w:hAnsi="Times New Roman" w:eastAsia="Times New Roman" w:cs="Times New Roman"/>
      <w:b/>
      <w:bCs/>
      <w:sz w:val="18"/>
      <w:szCs w:val="18"/>
    </w:rPr>
  </w:style>
  <w:style w:type="paragraph" w:customStyle="1" w:styleId="Affiliation">
    <w:name w:val="Affiliation"/>
    <w:pPr>
      <w:jc w:val="center"/>
    </w:pPr>
    <w:rPr>
      <w:rFonts w:ascii="Times New Roman" w:hAnsi="Times New Roman" w:eastAsia="Times New Roman" w:cs="Times New Roman"/>
    </w:rPr>
  </w:style>
  <w:style w:type="paragraph" w:customStyle="1" w:styleId="Author">
    <w:name w:val="Author"/>
    <w:pPr>
      <w:spacing w:before="18pt" w:after="2pt"/>
      <w:jc w:val="center"/>
    </w:pPr>
    <w:rPr>
      <w:rFonts w:ascii="Times New Roman" w:hAnsi="Times New Roman" w:eastAsia="Times New Roman" w:cs="Times New Roman"/>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rFonts w:ascii="Times New Roman" w:hAnsi="Times New Roman" w:eastAsia="Times New Roman" w:cs="Times New Roman"/>
      <w:spacing w:val="-1"/>
      <w:lang w:val="x-none" w:eastAsia="x-none"/>
    </w:rPr>
  </w:style>
  <w:style w:type="character" w:customStyle="1" w:styleId="BodyTextChar">
    <w:name w:val="Body Text Char"/>
    <w:link w:val="BodyText"/>
    <w:rsid w:val="00E7596C"/>
    <w:rPr>
      <w:rFonts w:ascii="Times New Roman" w:hAnsi="Times New Roman" w:eastAsia="Times New Roman" w:cs="Times New Roman"/>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rPr>
      <w:rFonts w:ascii="Times New Roman" w:hAnsi="Times New Roman" w:eastAsia="Times New Roman" w:cs="Times New Roman"/>
    </w:rPr>
  </w:style>
  <w:style w:type="paragraph" w:customStyle="1" w:styleId="equation">
    <w:name w:val="equation"/>
    <w:basedOn w:val="Normal"/>
    <w:rsid w:val="008A2C7D"/>
    <w:pPr>
      <w:tabs>
        <w:tab w:val="center" w:pos="126pt"/>
        <w:tab w:val="end" w:pos="252pt"/>
      </w:tabs>
      <w:spacing w:before="12pt" w:after="12pt" w:line="10.80pt" w:lineRule="auto"/>
    </w:pPr>
    <w:rPr>
      <w:rFonts w:ascii="Times New Roman" w:hAnsi="Times New Roman" w:cs="Times New Roman" w:eastAsia="Times New Roman"/>
    </w:rPr>
  </w:style>
  <w:style w:type="paragraph" w:customStyle="1" w:styleId="figurecaption">
    <w:name w:val="figure caption"/>
    <w:rsid w:val="005B0344"/>
    <w:pPr>
      <w:numPr>
        <w:numId w:val="2"/>
      </w:numPr>
      <w:tabs>
        <w:tab w:val="start" w:pos="26.65pt"/>
      </w:tabs>
      <w:spacing w:before="4pt" w:after="10pt"/>
      <w:ind w:start="0pt" w:firstLine="0pt"/>
      <w:jc w:val="both"/>
    </w:pPr>
    <w:rPr>
      <w:rFonts w:ascii="Times New Roman" w:hAnsi="Times New Roman" w:eastAsia="Times New Roman" w:cs="Times New Roman"/>
      <w:noProof/>
      <w:sz w:val="16"/>
      <w:szCs w:val="16"/>
    </w:rPr>
  </w:style>
  <w:style w:type="paragraph" w:customStyle="1" w:styleId="footnote">
    <w:name w:val="footnote"/>
    <w:pPr>
      <w:framePr w:hSpace="9.35pt" w:vSpace="9.35pt" w:wrap="notBeside" w:vAnchor="text" w:hAnchor="page" w:x="306.05pt" w:y="28.85pt"/>
      <w:numPr>
        <w:numId w:val="3"/>
      </w:numPr>
      <w:spacing w:after="2pt"/>
    </w:pPr>
    <w:rPr>
      <w:rFonts w:ascii="Times New Roman" w:hAnsi="Times New Roman" w:eastAsia="Times New Roman" w:cs="Times New Roman"/>
      <w:sz w:val="16"/>
      <w:szCs w:val="16"/>
    </w:rPr>
  </w:style>
  <w:style w:type="paragraph" w:customStyle="1" w:styleId="papersubtitle">
    <w:name w:val="paper subtitle"/>
    <w:pPr>
      <w:spacing w:after="6pt"/>
      <w:jc w:val="center"/>
    </w:pPr>
    <w:rPr>
      <w:rFonts w:eastAsia="Times New Roman" w:ascii="Times New Roman" w:hAnsi="Times New Roman" w:cs="Times New Roman"/>
      <w:noProof/>
      <w:sz w:val="28"/>
      <w:szCs w:val="28"/>
    </w:rPr>
  </w:style>
  <w:style w:type="paragraph" w:customStyle="1" w:styleId="papertitle">
    <w:name w:val="paper title"/>
    <w:pPr>
      <w:spacing w:after="6pt"/>
      <w:jc w:val="center"/>
    </w:pPr>
    <w:rPr>
      <w:rFonts w:eastAsia="Times New Roman" w:ascii="Times New Roman" w:hAnsi="Times New Roman" w:cs="Times New Roman"/>
      <w:noProof/>
      <w:sz w:val="48"/>
      <w:szCs w:val="48"/>
    </w:rPr>
  </w:style>
  <w:style w:type="paragraph" w:customStyle="1" w:styleId="references">
    <w:name w:val="references"/>
    <w:pPr>
      <w:numPr>
        <w:numId w:val="8"/>
      </w:numPr>
      <w:spacing w:after="2.50pt" w:line="9pt" w:lineRule="exact"/>
      <w:jc w:val="both"/>
    </w:pPr>
    <w:rPr>
      <w:rFonts w:eastAsia="Times New Roman" w:ascii="Times New Roman" w:hAnsi="Times New Roman" w:cs="Times New Roman"/>
      <w:noProof/>
      <w:sz w:val="16"/>
      <w:szCs w:val="16"/>
    </w:rPr>
  </w:style>
  <w:style w:type="paragraph" w:customStyle="1" w:styleId="sponsors">
    <w:name w:val="sponsors"/>
    <w:pPr>
      <w:framePr w:wrap="auto" w:hAnchor="text" w:x="30.75pt" w:y="111.95pt"/>
      <w:pBdr>
        <w:top w:val="single" w:sz="4" w:space="2" w:color="auto"/>
      </w:pBdr>
      <w:ind w:firstLine="14.40pt"/>
    </w:pPr>
    <w:rPr>
      <w:rFonts w:ascii="Times New Roman" w:hAnsi="Times New Roman" w:eastAsia="Times New Roman" w:cs="Times New Roman"/>
      <w:sz w:val="16"/>
      <w:szCs w:val="16"/>
    </w:rPr>
  </w:style>
  <w:style w:type="paragraph" w:customStyle="1" w:styleId="tablecolhead">
    <w:name w:val="table col head"/>
    <w:basedOn w:val="Normal"/>
    <w:rPr>
      <w:rFonts w:ascii="Times New Roman" w:hAnsi="Times New Roman" w:eastAsia="Times New Roman" w:cs="Times New Roman"/>
      <w:b/>
      <w:bCs/>
      <w:sz w:val="16"/>
      <w:szCs w:val="16"/>
    </w:rPr>
  </w:style>
  <w:style w:type="paragraph" w:customStyle="1" w:styleId="tablecolsubhead">
    <w:name w:val="table col subhead"/>
    <w:basedOn w:val="tablecolhead"/>
    <w:rPr>
      <w:rFonts w:ascii="Times New Roman" w:hAnsi="Times New Roman" w:eastAsia="Times New Roman" w:cs="Times New Roman"/>
      <w:i/>
      <w:iCs/>
      <w:sz w:val="15"/>
      <w:szCs w:val="15"/>
    </w:rPr>
  </w:style>
  <w:style w:type="paragraph" w:customStyle="1" w:styleId="tablecopy">
    <w:name w:val="table copy"/>
    <w:pPr>
      <w:jc w:val="both"/>
    </w:pPr>
    <w:rPr>
      <w:rFonts w:ascii="Times New Roman" w:hAnsi="Times New Roman" w:eastAsia="Times New Roman" w:cs="Times New Roman"/>
      <w:noProof/>
      <w:sz w:val="16"/>
      <w:szCs w:val="16"/>
    </w:rPr>
  </w:style>
  <w:style w:type="paragraph" w:customStyle="1" w:styleId="tablefootnote">
    <w:name w:val="table footnote"/>
    <w:rsid w:val="005E2800"/>
    <w:pPr>
      <w:numPr>
        <w:numId w:val="24"/>
      </w:numPr>
      <w:spacing w:before="3pt" w:after="1.50pt"/>
      <w:ind w:start="2.90pt" w:hanging="1.45pt"/>
      <w:jc w:val="end"/>
    </w:pPr>
    <w:rPr>
      <w:rFonts w:ascii="Times New Roman" w:hAnsi="Times New Roman" w:eastAsia="Times New Roman" w:cs="Times New Roman"/>
      <w:sz w:val="12"/>
      <w:szCs w:val="12"/>
    </w:rPr>
  </w:style>
  <w:style w:type="paragraph" w:customStyle="1" w:styleId="tablehead">
    <w:name w:val="table head"/>
    <w:pPr>
      <w:numPr>
        <w:numId w:val="9"/>
      </w:numPr>
      <w:spacing w:before="12pt" w:after="6pt" w:line="10.80pt" w:lineRule="auto"/>
      <w:jc w:val="center"/>
    </w:pPr>
    <w:rPr>
      <w:rFonts w:ascii="Times New Roman" w:hAnsi="Times New Roman" w:eastAsia="Times New Roman" w:cs="Times New Roman"/>
      <w:smallCaps/>
      <w:noProof/>
      <w:sz w:val="16"/>
      <w:szCs w:val="16"/>
    </w:rPr>
  </w:style>
  <w:style w:type="paragraph" w:customStyle="1" w:styleId="Keywords">
    <w:name w:val="Keywords"/>
    <w:basedOn w:val="Abstract"/>
    <w:qFormat/>
    <w:rsid w:val="00F9441B"/>
    <w:pPr>
      <w:spacing w:after="6pt"/>
      <w:ind w:firstLine="13.70pt"/>
    </w:pPr>
    <w:rPr>
      <w:rFonts w:ascii="Times New Roman" w:hAnsi="Times New Roman" w:eastAsia="Times New Roman" w:cs="Times New Roman"/>
      <w:i/>
    </w:rPr>
  </w:style>
  <w:style w:type="paragraph" w:styleId="Header">
    <w:name w:val="header"/>
    <w:basedOn w:val="Normal"/>
    <w:link w:val="HeaderChar"/>
    <w:rsid w:val="001A3B3D"/>
    <w:pPr>
      <w:tabs>
        <w:tab w:val="center" w:pos="234pt"/>
        <w:tab w:val="end" w:pos="468pt"/>
      </w:tabs>
    </w:pPr>
    <w:rPr>
      <w:rFonts w:ascii="Times New Roman" w:hAnsi="Times New Roman" w:eastAsia="Times New Roman" w:cs="Times New Roman"/>
    </w:rPr>
  </w:style>
  <w:style w:type="character" w:customStyle="1" w:styleId="HeaderChar">
    <w:name w:val="Header Char"/>
    <w:basedOn w:val="DefaultParagraphFont"/>
    <w:link w:val="Header"/>
    <w:rsid w:val="001A3B3D"/>
    <w:rPr>
      <w:rFonts w:ascii="Times New Roman" w:hAnsi="Times New Roman" w:eastAsia="Times New Roman" w:cs="Times New Roman"/>
    </w:rPr>
  </w:style>
  <w:style w:type="paragraph" w:styleId="Footer">
    <w:name w:val="footer"/>
    <w:basedOn w:val="Normal"/>
    <w:link w:val="FooterChar"/>
    <w:rsid w:val="001A3B3D"/>
    <w:pPr>
      <w:tabs>
        <w:tab w:val="center" w:pos="234pt"/>
        <w:tab w:val="end" w:pos="468pt"/>
      </w:tabs>
    </w:pPr>
    <w:rPr>
      <w:rFonts w:ascii="Times New Roman" w:hAnsi="Times New Roman" w:eastAsia="Times New Roman" w:cs="Times New Roman"/>
    </w:rPr>
  </w:style>
  <w:style w:type="character" w:customStyle="1" w:styleId="FooterChar">
    <w:name w:val="Footer Char"/>
    <w:basedOn w:val="DefaultParagraphFont"/>
    <w:link w:val="Footer"/>
    <w:rsid w:val="001A3B3D"/>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1.xml"/><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SecureLLMBench Conference A4 Paper</dc:title>
  <dc:subject/>
  <dc:creator>SecureLLMBench</dc:creator>
  <cp:keywords/>
  <cp:lastModifiedBy>Diana Romeo</cp:lastModifiedBy>
  <cp:revision>2</cp:revision>
  <dcterms:created xsi:type="dcterms:W3CDTF">2024-07-16T13:42:00Z</dcterms:created>
  <dcterms:modified xsi:type="dcterms:W3CDTF">2024-07-16T13:42:00Z</dcterms:modified>
</cp:coreProperties>
</file>