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9"/>
        </w:rPr>
        <w:t>SecureLLMBench: A Traceable Framework for Safety and Security Evaluation of Local Large Language Models</w:t>
      </w:r>
    </w:p>
    <w:p>
      <w:pPr>
        <w:spacing w:after="140"/>
        <w:jc w:val="center"/>
      </w:pPr>
      <w:r>
        <w:rPr>
          <w:rFonts w:ascii="Times New Roman" w:hAnsi="Times New Roman"/>
          <w:b w:val="0"/>
          <w:i/>
          <w:sz w:val="19"/>
        </w:rPr>
        <w:t>Anonymous IEEE-Style Research Draft</w:t>
      </w:r>
    </w:p>
    <w:p>
      <w:pPr>
        <w:keepNext/>
        <w:spacing w:before="100" w:after="40"/>
      </w:pPr>
      <w:r>
        <w:rPr>
          <w:rFonts w:ascii="Times New Roman" w:hAnsi="Times New Roman"/>
          <w:b/>
          <w:i w:val="0"/>
          <w:sz w:val="20"/>
        </w:rPr>
        <w:t>Abstract</w:t>
      </w:r>
    </w:p>
    <w:p>
      <w:pPr>
        <w:spacing w:before="0" w:after="60" w:line="240" w:lineRule="auto"/>
        <w:ind w:firstLine="202"/>
      </w:pPr>
      <w:r>
        <w:rPr>
          <w:rFonts w:ascii="Times New Roman" w:hAnsi="Times New Roman"/>
          <w:b w:val="0"/>
          <w:i w:val="0"/>
          <w:sz w:val="18"/>
        </w:rPr>
        <w:t>SecureLLMBench is a research-oriented software framework for conducting traceable evaluations of local large language models (LLMs) under benign, isolated-attack, sequential-attack, and recovery conditions. The framework persists versioned inputs, generation settings, target-model metadata, detector evidence, structured judge measurements, metric artifacts, and explicit failure states. This paper documents the implemented architecture and a local engineering trace using qwen3.5:2b as target and gemma3:4b as judge. The trace confirms end-to-end execution and provenance capture, but it is not an empirical security result: target responses were empty at the configured generation limit, some judge dimensions failed validation, and attack-success labels were absent. The contribution is therefore a reproducible measurement and governance substrate, not a claim that a model is secure or that any proposed metric is validated.</w:t>
      </w:r>
    </w:p>
    <w:p>
      <w:pPr>
        <w:spacing w:before="0" w:after="60" w:line="240" w:lineRule="auto"/>
      </w:pPr>
      <w:r>
        <w:rPr>
          <w:rFonts w:ascii="Times New Roman" w:hAnsi="Times New Roman"/>
          <w:b/>
          <w:i w:val="0"/>
          <w:sz w:val="17"/>
        </w:rPr>
        <w:t>Index Terms—</w:t>
      </w:r>
      <w:r>
        <w:rPr>
          <w:rFonts w:ascii="Times New Roman" w:hAnsi="Times New Roman"/>
          <w:b w:val="0"/>
          <w:i w:val="0"/>
          <w:sz w:val="17"/>
        </w:rPr>
        <w:t>LLM security evaluation, reproducibility, local inference, benchmark provenance, behavioral measurement, scientific safeguards.</w:t>
      </w:r>
    </w:p>
    <w:p>
      <w:pPr>
        <w:sectPr>
          <w:headerReference w:type="default" r:id="rId9"/>
          <w:footerReference w:type="default" r:id="rId10"/>
          <w:pgSz w:w="12240" w:h="15840"/>
          <w:pgMar w:top="792" w:right="835" w:bottom="792" w:left="835" w:header="720" w:footer="720" w:gutter="0"/>
          <w:cols w:space="720"/>
          <w:docGrid w:linePitch="360"/>
        </w:sectPr>
      </w:pPr>
    </w:p>
    <w:p>
      <w:pPr>
        <w:keepNext/>
        <w:spacing w:before="100" w:after="40"/>
      </w:pPr>
      <w:r>
        <w:rPr>
          <w:rFonts w:ascii="Times New Roman" w:hAnsi="Times New Roman"/>
          <w:b/>
          <w:i w:val="0"/>
          <w:sz w:val="20"/>
        </w:rPr>
        <w:t>I. INTRODUCTION</w:t>
      </w:r>
    </w:p>
    <w:p>
      <w:pPr>
        <w:spacing w:before="0" w:after="60" w:line="240" w:lineRule="auto"/>
        <w:ind w:firstLine="202"/>
      </w:pPr>
      <w:r>
        <w:rPr>
          <w:rFonts w:ascii="Times New Roman" w:hAnsi="Times New Roman"/>
          <w:b w:val="0"/>
          <w:i w:val="0"/>
          <w:sz w:val="18"/>
        </w:rPr>
        <w:t>Security evaluation for LLMs requires more than a prompt and a score. A defensible result must identify the benchmark population, model version, generation settings, prompt sequence, measurements, evaluator behavior, and all unavailable prerequisites. SecureLLMBench addresses this engineering requirement by treating an evaluation as an auditable trace rather than as an opaque number. It connects dataset ingestion, local inference, Layer 1 detector evidence, Layer 2 structured judging, behavioral metrics, persistent records, a FastAPI backend, and a research dashboard.</w:t>
      </w:r>
    </w:p>
    <w:p>
      <w:pPr>
        <w:spacing w:before="0" w:after="60" w:line="240" w:lineRule="auto"/>
        <w:ind w:firstLine="202"/>
      </w:pPr>
      <w:r>
        <w:rPr>
          <w:rFonts w:ascii="Times New Roman" w:hAnsi="Times New Roman"/>
          <w:b w:val="0"/>
          <w:i w:val="0"/>
          <w:sz w:val="18"/>
        </w:rPr>
        <w:t>The central design choice is semantic restraint. Layer 1 outputs are detector-native evidence rather than attack-success truth. Layer 2 outputs are structured measurements rather than calibrated probabilities. Missing, failed, uncalibrated, undefined, and not-applicable values remain distinct values in storage and in the dashboard. This prevents a user interface or downstream report from implying that a missing measurement is evidence of zero risk.</w:t>
      </w:r>
    </w:p>
    <w:p>
      <w:pPr>
        <w:keepNext/>
        <w:spacing w:before="60" w:after="40"/>
      </w:pPr>
      <w:r>
        <w:rPr>
          <w:rFonts w:ascii="Times New Roman" w:hAnsi="Times New Roman"/>
          <w:b/>
          <w:i w:val="0"/>
          <w:sz w:val="19"/>
        </w:rPr>
        <w:t>A. Contributions</w:t>
      </w:r>
    </w:p>
    <w:p>
      <w:pPr>
        <w:spacing w:before="0" w:after="60" w:line="240" w:lineRule="auto"/>
        <w:ind w:firstLine="202"/>
      </w:pPr>
      <w:r>
        <w:rPr>
          <w:rFonts w:ascii="Times New Roman" w:hAnsi="Times New Roman"/>
          <w:b w:val="0"/>
          <w:i w:val="0"/>
          <w:sz w:val="18"/>
        </w:rPr>
        <w:t>First, the framework implements an end-to-end local evaluation trace with database persistence, read-only API endpoints, and dashboard exploration. Second, it implements four-component BSDA computation, Recovery Capability (RC), and Sequential Attack Evaluation Algorithm (SAEA) runtimes with explicit applicability contracts. Third, it preserves DRAA and PRI as uncalibrated evidence profiles, deliberately withholding scalar risk and model-ranking values. Fourth, it provides reproducibility artifacts, safety tests, and explicit research blockers.</w:t>
      </w:r>
    </w:p>
    <w:p>
      <w:pPr>
        <w:keepNext/>
        <w:spacing w:before="60" w:after="40"/>
      </w:pPr>
      <w:r>
        <w:rPr>
          <w:rFonts w:ascii="Times New Roman" w:hAnsi="Times New Roman"/>
          <w:b/>
          <w:i w:val="0"/>
          <w:sz w:val="19"/>
        </w:rPr>
        <w:t>B. Scope of This Paper</w:t>
      </w:r>
    </w:p>
    <w:p>
      <w:pPr>
        <w:spacing w:before="0" w:after="60" w:line="240" w:lineRule="auto"/>
        <w:ind w:firstLine="202"/>
      </w:pPr>
      <w:r>
        <w:rPr>
          <w:rFonts w:ascii="Times New Roman" w:hAnsi="Times New Roman"/>
          <w:b w:val="0"/>
          <w:i w:val="0"/>
          <w:sz w:val="18"/>
        </w:rPr>
        <w:t>This paper is an implementation and trace report. It does not present a broad benchmark comparison, validated attack success rate (ASR), calibration study, or model ranking. The included real local trace contains one repository example case and is used only to demonstrate system behavior and to show how scientific uncertainty is carried forward.</w:t>
      </w:r>
    </w:p>
    <w:p>
      <w:r>
        <w:br w:type="page"/>
      </w:r>
    </w:p>
    <w:p>
      <w:pPr>
        <w:keepNext/>
        <w:spacing w:before="100" w:after="40"/>
      </w:pPr>
      <w:r>
        <w:rPr>
          <w:rFonts w:ascii="Times New Roman" w:hAnsi="Times New Roman"/>
          <w:b/>
          <w:i w:val="0"/>
          <w:sz w:val="20"/>
        </w:rPr>
        <w:t>II. SYSTEM ARCHITECTURE</w:t>
      </w:r>
    </w:p>
    <w:p>
      <w:pPr>
        <w:spacing w:before="0" w:after="60" w:line="240" w:lineRule="auto"/>
        <w:ind w:firstLine="202"/>
      </w:pPr>
      <w:r>
        <w:rPr>
          <w:rFonts w:ascii="Times New Roman" w:hAnsi="Times New Roman"/>
          <w:b w:val="0"/>
          <w:i w:val="0"/>
          <w:sz w:val="18"/>
        </w:rPr>
        <w:t>Figure 1 summarizes the evaluation flow. A case begins with a versioned dataset record and a captured generation configuration. A provider produces a response together with timing and model identity. Layer 1 detectors provide rule, keyword, and pattern evidence. Layer 2 produces dimension-specific structured judgments. The framework maps compatible judgments into behavioral states, computes metric artifacts, and persists both values and their provenance for dashboard and API consumption.</w:t>
      </w:r>
    </w:p>
    <w:p>
      <w:pPr>
        <w:jc w:val="center"/>
      </w:pPr>
      <w:r>
        <w:drawing>
          <wp:inline xmlns:a="http://schemas.openxmlformats.org/drawingml/2006/main" xmlns:pic="http://schemas.openxmlformats.org/drawingml/2006/picture">
            <wp:extent cx="6172200" cy="31272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127248"/>
                    </a:xfrm>
                    <a:prstGeom prst="rect"/>
                  </pic:spPr>
                </pic:pic>
              </a:graphicData>
            </a:graphic>
          </wp:inline>
        </w:drawing>
      </w:r>
    </w:p>
    <w:p>
      <w:pPr>
        <w:spacing w:before="20" w:after="80"/>
        <w:jc w:val="center"/>
      </w:pPr>
      <w:r>
        <w:rPr>
          <w:rFonts w:ascii="Times New Roman" w:hAnsi="Times New Roman"/>
          <w:b w:val="0"/>
          <w:i/>
          <w:sz w:val="16"/>
        </w:rPr>
        <w:t>Fig. 1. Traceable evaluation flow. Data and state move forward with configuration, provenance, and explicit availability semantics.</w:t>
      </w:r>
    </w:p>
    <w:p>
      <w:pPr>
        <w:keepNext/>
        <w:spacing w:before="60" w:after="40"/>
      </w:pPr>
      <w:r>
        <w:rPr>
          <w:rFonts w:ascii="Times New Roman" w:hAnsi="Times New Roman"/>
          <w:b/>
          <w:i w:val="0"/>
          <w:sz w:val="19"/>
        </w:rPr>
        <w:t>A. Data and Execution Contracts</w:t>
      </w:r>
    </w:p>
    <w:p>
      <w:pPr>
        <w:spacing w:before="0" w:after="60" w:line="240" w:lineRule="auto"/>
        <w:ind w:firstLine="202"/>
      </w:pPr>
      <w:r>
        <w:rPr>
          <w:rFonts w:ascii="Times New Roman" w:hAnsi="Times New Roman"/>
          <w:b w:val="0"/>
          <w:i w:val="0"/>
          <w:sz w:val="18"/>
        </w:rPr>
        <w:t>The data layer ingests JSON, JSONL, and CSV sources and computes a dataset hash before analysis. The execution layer supports deterministic mock inference for software tests and local Ollama inference for already-installed models. No experiment command downloads a model. Each provider result stores model/provider metadata, latency, finish reason, generation settings, and raw response metadata so that a later reviewer can distinguish a successful response from a length-limited or failed output.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1613"/>
            <w:shd w:fill="17365D"/>
            <w:tcMar>
              <w:top w:w="80" w:type="dxa"/>
              <w:start w:w="100" w:type="dxa"/>
              <w:bottom w:w="80" w:type="dxa"/>
              <w:end w:w="100" w:type="dxa"/>
            </w:tcMar>
            <w:vAlign w:val="center"/>
          </w:tcPr>
          <w:p>
            <w:pPr>
              <w:jc w:val="center"/>
            </w:pPr>
            <w:r>
              <w:rPr>
                <w:rFonts w:ascii="Times New Roman" w:hAnsi="Times New Roman"/>
                <w:b/>
                <w:i w:val="0"/>
                <w:color w:val="FFFFFF"/>
                <w:sz w:val="15"/>
              </w:rPr>
              <w:t>Artifact</w:t>
            </w:r>
          </w:p>
        </w:tc>
        <w:tc>
          <w:tcPr>
            <w:tcW w:type="dxa" w:w="3960"/>
            <w:shd w:fill="17365D"/>
            <w:tcMar>
              <w:top w:w="80" w:type="dxa"/>
              <w:start w:w="100" w:type="dxa"/>
              <w:bottom w:w="80" w:type="dxa"/>
              <w:end w:w="100" w:type="dxa"/>
            </w:tcMar>
            <w:vAlign w:val="center"/>
          </w:tcPr>
          <w:p>
            <w:pPr>
              <w:jc w:val="center"/>
            </w:pPr>
            <w:r>
              <w:rPr>
                <w:rFonts w:ascii="Times New Roman" w:hAnsi="Times New Roman"/>
                <w:b/>
                <w:i w:val="0"/>
                <w:color w:val="FFFFFF"/>
                <w:sz w:val="15"/>
              </w:rPr>
              <w:t>Captured fields</w:t>
            </w:r>
          </w:p>
        </w:tc>
        <w:tc>
          <w:tcPr>
            <w:tcW w:type="dxa" w:w="3917"/>
            <w:shd w:fill="17365D"/>
            <w:tcMar>
              <w:top w:w="80" w:type="dxa"/>
              <w:start w:w="100" w:type="dxa"/>
              <w:bottom w:w="80" w:type="dxa"/>
              <w:end w:w="100" w:type="dxa"/>
            </w:tcMar>
            <w:vAlign w:val="center"/>
          </w:tcPr>
          <w:p>
            <w:pPr>
              <w:jc w:val="center"/>
            </w:pPr>
            <w:r>
              <w:rPr>
                <w:rFonts w:ascii="Times New Roman" w:hAnsi="Times New Roman"/>
                <w:b/>
                <w:i w:val="0"/>
                <w:color w:val="FFFFFF"/>
                <w:sz w:val="15"/>
              </w:rPr>
              <w:t>Reason</w:t>
            </w:r>
          </w:p>
        </w:tc>
      </w:tr>
      <w:tr>
        <w:tc>
          <w:tcPr>
            <w:tcW w:type="dxa" w:w="1613"/>
            <w:vAlign w:val="center"/>
            <w:tcMar>
              <w:top w:w="80" w:type="dxa"/>
              <w:start w:w="100" w:type="dxa"/>
              <w:bottom w:w="80" w:type="dxa"/>
              <w:end w:w="100" w:type="dxa"/>
            </w:tcMar>
          </w:tcPr>
          <w:p>
            <w:pPr>
              <w:jc w:val="left"/>
            </w:pPr>
            <w:r>
              <w:rPr>
                <w:rFonts w:ascii="Times New Roman" w:hAnsi="Times New Roman"/>
                <w:b w:val="0"/>
                <w:i w:val="0"/>
                <w:sz w:val="15"/>
              </w:rPr>
              <w:t>Dataset version</w:t>
            </w:r>
          </w:p>
        </w:tc>
        <w:tc>
          <w:tcPr>
            <w:tcW w:type="dxa" w:w="3960"/>
            <w:vAlign w:val="center"/>
            <w:tcMar>
              <w:top w:w="80" w:type="dxa"/>
              <w:start w:w="100" w:type="dxa"/>
              <w:bottom w:w="80" w:type="dxa"/>
              <w:end w:w="100" w:type="dxa"/>
            </w:tcMar>
          </w:tcPr>
          <w:p>
            <w:pPr>
              <w:jc w:val="center"/>
            </w:pPr>
            <w:r>
              <w:rPr>
                <w:rFonts w:ascii="Times New Roman" w:hAnsi="Times New Roman"/>
                <w:b w:val="0"/>
                <w:i w:val="0"/>
                <w:sz w:val="15"/>
              </w:rPr>
              <w:t>Path, hash, case id, taxonomy</w:t>
            </w:r>
          </w:p>
        </w:tc>
        <w:tc>
          <w:tcPr>
            <w:tcW w:type="dxa" w:w="3917"/>
            <w:vAlign w:val="center"/>
            <w:tcMar>
              <w:top w:w="80" w:type="dxa"/>
              <w:start w:w="100" w:type="dxa"/>
              <w:bottom w:w="80" w:type="dxa"/>
              <w:end w:w="100" w:type="dxa"/>
            </w:tcMar>
          </w:tcPr>
          <w:p>
            <w:pPr>
              <w:jc w:val="center"/>
            </w:pPr>
            <w:r>
              <w:rPr>
                <w:rFonts w:ascii="Times New Roman" w:hAnsi="Times New Roman"/>
                <w:b w:val="0"/>
                <w:i w:val="0"/>
                <w:sz w:val="15"/>
              </w:rPr>
              <w:t>Recreates the evaluated population</w:t>
            </w:r>
          </w:p>
        </w:tc>
      </w:tr>
      <w:tr>
        <w:tc>
          <w:tcPr>
            <w:tcW w:type="dxa" w:w="1613"/>
            <w:vAlign w:val="center"/>
            <w:tcMar>
              <w:top w:w="80" w:type="dxa"/>
              <w:start w:w="100" w:type="dxa"/>
              <w:bottom w:w="80" w:type="dxa"/>
              <w:end w:w="100" w:type="dxa"/>
            </w:tcMar>
            <w:shd w:fill="F2F2F2"/>
          </w:tcPr>
          <w:p>
            <w:pPr>
              <w:jc w:val="left"/>
            </w:pPr>
            <w:r>
              <w:rPr>
                <w:rFonts w:ascii="Times New Roman" w:hAnsi="Times New Roman"/>
                <w:b w:val="0"/>
                <w:i w:val="0"/>
                <w:sz w:val="15"/>
              </w:rPr>
              <w:t>Model execution</w:t>
            </w:r>
          </w:p>
        </w:tc>
        <w:tc>
          <w:tcPr>
            <w:tcW w:type="dxa" w:w="3960"/>
            <w:vAlign w:val="center"/>
            <w:tcMar>
              <w:top w:w="80" w:type="dxa"/>
              <w:start w:w="100" w:type="dxa"/>
              <w:bottom w:w="80" w:type="dxa"/>
              <w:end w:w="100" w:type="dxa"/>
            </w:tcMar>
            <w:shd w:fill="F2F2F2"/>
          </w:tcPr>
          <w:p>
            <w:pPr>
              <w:jc w:val="center"/>
            </w:pPr>
            <w:r>
              <w:rPr>
                <w:rFonts w:ascii="Times New Roman" w:hAnsi="Times New Roman"/>
                <w:b w:val="0"/>
                <w:i w:val="0"/>
                <w:sz w:val="15"/>
              </w:rPr>
              <w:t>Model digest, seed, temperature, token limit, latency</w:t>
            </w:r>
          </w:p>
        </w:tc>
        <w:tc>
          <w:tcPr>
            <w:tcW w:type="dxa" w:w="3917"/>
            <w:vAlign w:val="center"/>
            <w:tcMar>
              <w:top w:w="80" w:type="dxa"/>
              <w:start w:w="100" w:type="dxa"/>
              <w:bottom w:w="80" w:type="dxa"/>
              <w:end w:w="100" w:type="dxa"/>
            </w:tcMar>
            <w:shd w:fill="F2F2F2"/>
          </w:tcPr>
          <w:p>
            <w:pPr>
              <w:jc w:val="center"/>
            </w:pPr>
            <w:r>
              <w:rPr>
                <w:rFonts w:ascii="Times New Roman" w:hAnsi="Times New Roman"/>
                <w:b w:val="0"/>
                <w:i w:val="0"/>
                <w:sz w:val="15"/>
              </w:rPr>
              <w:t>Supports configuration-level comparison</w:t>
            </w:r>
          </w:p>
        </w:tc>
      </w:tr>
      <w:tr>
        <w:tc>
          <w:tcPr>
            <w:tcW w:type="dxa" w:w="1613"/>
            <w:vAlign w:val="center"/>
            <w:tcMar>
              <w:top w:w="80" w:type="dxa"/>
              <w:start w:w="100" w:type="dxa"/>
              <w:bottom w:w="80" w:type="dxa"/>
              <w:end w:w="100" w:type="dxa"/>
            </w:tcMar>
          </w:tcPr>
          <w:p>
            <w:pPr>
              <w:jc w:val="left"/>
            </w:pPr>
            <w:r>
              <w:rPr>
                <w:rFonts w:ascii="Times New Roman" w:hAnsi="Times New Roman"/>
                <w:b w:val="0"/>
                <w:i w:val="0"/>
                <w:sz w:val="15"/>
              </w:rPr>
              <w:t>Layer 1</w:t>
            </w:r>
          </w:p>
        </w:tc>
        <w:tc>
          <w:tcPr>
            <w:tcW w:type="dxa" w:w="3960"/>
            <w:vAlign w:val="center"/>
            <w:tcMar>
              <w:top w:w="80" w:type="dxa"/>
              <w:start w:w="100" w:type="dxa"/>
              <w:bottom w:w="80" w:type="dxa"/>
              <w:end w:w="100" w:type="dxa"/>
            </w:tcMar>
          </w:tcPr>
          <w:p>
            <w:pPr>
              <w:jc w:val="center"/>
            </w:pPr>
            <w:r>
              <w:rPr>
                <w:rFonts w:ascii="Times New Roman" w:hAnsi="Times New Roman"/>
                <w:b w:val="0"/>
                <w:i w:val="0"/>
                <w:sz w:val="15"/>
              </w:rPr>
              <w:t>Detector score, evidence, rule metadata</w:t>
            </w:r>
          </w:p>
        </w:tc>
        <w:tc>
          <w:tcPr>
            <w:tcW w:type="dxa" w:w="3917"/>
            <w:vAlign w:val="center"/>
            <w:tcMar>
              <w:top w:w="80" w:type="dxa"/>
              <w:start w:w="100" w:type="dxa"/>
              <w:bottom w:w="80" w:type="dxa"/>
              <w:end w:w="100" w:type="dxa"/>
            </w:tcMar>
          </w:tcPr>
          <w:p>
            <w:pPr>
              <w:jc w:val="center"/>
            </w:pPr>
            <w:r>
              <w:rPr>
                <w:rFonts w:ascii="Times New Roman" w:hAnsi="Times New Roman"/>
                <w:b w:val="0"/>
                <w:i w:val="0"/>
                <w:sz w:val="15"/>
              </w:rPr>
              <w:t>Preserves detector-native semantics</w:t>
            </w:r>
          </w:p>
        </w:tc>
      </w:tr>
      <w:tr>
        <w:tc>
          <w:tcPr>
            <w:tcW w:type="dxa" w:w="1613"/>
            <w:vAlign w:val="center"/>
            <w:tcMar>
              <w:top w:w="80" w:type="dxa"/>
              <w:start w:w="100" w:type="dxa"/>
              <w:bottom w:w="80" w:type="dxa"/>
              <w:end w:w="100" w:type="dxa"/>
            </w:tcMar>
            <w:shd w:fill="F2F2F2"/>
          </w:tcPr>
          <w:p>
            <w:pPr>
              <w:jc w:val="left"/>
            </w:pPr>
            <w:r>
              <w:rPr>
                <w:rFonts w:ascii="Times New Roman" w:hAnsi="Times New Roman"/>
                <w:b w:val="0"/>
                <w:i w:val="0"/>
                <w:sz w:val="15"/>
              </w:rPr>
              <w:t>Layer 2</w:t>
            </w:r>
          </w:p>
        </w:tc>
        <w:tc>
          <w:tcPr>
            <w:tcW w:type="dxa" w:w="3960"/>
            <w:vAlign w:val="center"/>
            <w:tcMar>
              <w:top w:w="80" w:type="dxa"/>
              <w:start w:w="100" w:type="dxa"/>
              <w:bottom w:w="80" w:type="dxa"/>
              <w:end w:w="100" w:type="dxa"/>
            </w:tcMar>
            <w:shd w:fill="F2F2F2"/>
          </w:tcPr>
          <w:p>
            <w:pPr>
              <w:jc w:val="center"/>
            </w:pPr>
            <w:r>
              <w:rPr>
                <w:rFonts w:ascii="Times New Roman" w:hAnsi="Times New Roman"/>
                <w:b w:val="0"/>
                <w:i w:val="0"/>
                <w:sz w:val="15"/>
              </w:rPr>
              <w:t>Dimension, rubric/prompt versions, status, confidence</w:t>
            </w:r>
          </w:p>
        </w:tc>
        <w:tc>
          <w:tcPr>
            <w:tcW w:type="dxa" w:w="3917"/>
            <w:vAlign w:val="center"/>
            <w:tcMar>
              <w:top w:w="80" w:type="dxa"/>
              <w:start w:w="100" w:type="dxa"/>
              <w:bottom w:w="80" w:type="dxa"/>
              <w:end w:w="100" w:type="dxa"/>
            </w:tcMar>
            <w:shd w:fill="F2F2F2"/>
          </w:tcPr>
          <w:p>
            <w:pPr>
              <w:jc w:val="center"/>
            </w:pPr>
            <w:r>
              <w:rPr>
                <w:rFonts w:ascii="Times New Roman" w:hAnsi="Times New Roman"/>
                <w:b w:val="0"/>
                <w:i w:val="0"/>
                <w:sz w:val="15"/>
              </w:rPr>
              <w:t>Makes evaluator behavior auditable</w:t>
            </w:r>
          </w:p>
        </w:tc>
      </w:tr>
      <w:tr>
        <w:tc>
          <w:tcPr>
            <w:tcW w:type="dxa" w:w="1613"/>
            <w:vAlign w:val="center"/>
            <w:tcMar>
              <w:top w:w="80" w:type="dxa"/>
              <w:start w:w="100" w:type="dxa"/>
              <w:bottom w:w="80" w:type="dxa"/>
              <w:end w:w="100" w:type="dxa"/>
            </w:tcMar>
          </w:tcPr>
          <w:p>
            <w:pPr>
              <w:jc w:val="left"/>
            </w:pPr>
            <w:r>
              <w:rPr>
                <w:rFonts w:ascii="Times New Roman" w:hAnsi="Times New Roman"/>
                <w:b w:val="0"/>
                <w:i w:val="0"/>
                <w:sz w:val="15"/>
              </w:rPr>
              <w:t>Metric record</w:t>
            </w:r>
          </w:p>
        </w:tc>
        <w:tc>
          <w:tcPr>
            <w:tcW w:type="dxa" w:w="3960"/>
            <w:vAlign w:val="center"/>
            <w:tcMar>
              <w:top w:w="80" w:type="dxa"/>
              <w:start w:w="100" w:type="dxa"/>
              <w:bottom w:w="80" w:type="dxa"/>
              <w:end w:w="100" w:type="dxa"/>
            </w:tcMar>
          </w:tcPr>
          <w:p>
            <w:pPr>
              <w:jc w:val="center"/>
            </w:pPr>
            <w:r>
              <w:rPr>
                <w:rFonts w:ascii="Times New Roman" w:hAnsi="Times New Roman"/>
                <w:b w:val="0"/>
                <w:i w:val="0"/>
                <w:sz w:val="15"/>
              </w:rPr>
              <w:t>Formula inputs, applicability, provenance</w:t>
            </w:r>
          </w:p>
        </w:tc>
        <w:tc>
          <w:tcPr>
            <w:tcW w:type="dxa" w:w="3917"/>
            <w:vAlign w:val="center"/>
            <w:tcMar>
              <w:top w:w="80" w:type="dxa"/>
              <w:start w:w="100" w:type="dxa"/>
              <w:bottom w:w="80" w:type="dxa"/>
              <w:end w:w="100" w:type="dxa"/>
            </w:tcMar>
          </w:tcPr>
          <w:p>
            <w:pPr>
              <w:jc w:val="center"/>
            </w:pPr>
            <w:r>
              <w:rPr>
                <w:rFonts w:ascii="Times New Roman" w:hAnsi="Times New Roman"/>
                <w:b w:val="0"/>
                <w:i w:val="0"/>
                <w:sz w:val="15"/>
              </w:rPr>
              <w:t>Prevents unsupported aggregation</w:t>
            </w:r>
          </w:p>
        </w:tc>
      </w:tr>
    </w:tbl>
    <w:p>
      <w:pPr>
        <w:spacing w:after="0"/>
      </w:pPr>
    </w:p>
    <w:p>
      <w:pPr>
        <w:spacing w:before="20" w:after="80"/>
        <w:jc w:val="center"/>
      </w:pPr>
      <w:r>
        <w:rPr>
          <w:rFonts w:ascii="Times New Roman" w:hAnsi="Times New Roman"/>
          <w:b w:val="0"/>
          <w:i/>
          <w:sz w:val="16"/>
        </w:rPr>
        <w:t>TABLE I. Core trace artifacts and their audit purpose.</w:t>
      </w:r>
    </w:p>
    <w:p>
      <w:pPr>
        <w:keepNext/>
        <w:spacing w:before="60" w:after="40"/>
      </w:pPr>
      <w:r>
        <w:rPr>
          <w:rFonts w:ascii="Times New Roman" w:hAnsi="Times New Roman"/>
          <w:b/>
          <w:i w:val="0"/>
          <w:sz w:val="19"/>
        </w:rPr>
        <w:t>B. Dashboard and API</w:t>
      </w:r>
    </w:p>
    <w:p>
      <w:pPr>
        <w:spacing w:before="0" w:after="60" w:line="240" w:lineRule="auto"/>
        <w:ind w:firstLine="202"/>
      </w:pPr>
      <w:r>
        <w:rPr>
          <w:rFonts w:ascii="Times New Roman" w:hAnsi="Times New Roman"/>
          <w:b w:val="0"/>
          <w:i w:val="0"/>
          <w:sz w:val="18"/>
        </w:rPr>
        <w:t>The backend exposes safe read-only endpoints for dashboard summary, datasets, models, benchmark runs, evaluations, Layer 1 and Layer 2 results, scientific records, model-score provenance, runtime models, and review records. The dashboard renders these items in a light research UI and differentiates empty data from unavailable upstream measurements. Local execution is exposed as an opt-in capability; a server restart does not manufacture benchmark jobs or synthetic results.</w:t>
      </w:r>
    </w:p>
    <w:p>
      <w:r>
        <w:br w:type="page"/>
      </w:r>
    </w:p>
    <w:p>
      <w:pPr>
        <w:keepNext/>
        <w:spacing w:before="100" w:after="40"/>
      </w:pPr>
      <w:r>
        <w:rPr>
          <w:rFonts w:ascii="Times New Roman" w:hAnsi="Times New Roman"/>
          <w:b/>
          <w:i w:val="0"/>
          <w:sz w:val="20"/>
        </w:rPr>
        <w:t>III. MEASUREMENT DESIGN AND CALCULATIONS</w:t>
      </w:r>
    </w:p>
    <w:p>
      <w:pPr>
        <w:spacing w:before="0" w:after="60" w:line="240" w:lineRule="auto"/>
        <w:ind w:firstLine="202"/>
      </w:pPr>
      <w:r>
        <w:rPr>
          <w:rFonts w:ascii="Times New Roman" w:hAnsi="Times New Roman"/>
          <w:b w:val="0"/>
          <w:i w:val="0"/>
          <w:sz w:val="18"/>
        </w:rPr>
        <w:t>SecureLLMBench uses formulas only within their stated data contracts. The formulas below define computational behavior; they are not claimed as validated scientific estimators. Every metric requires compatible input scales, declared versions, and an explicit applicability outcome.</w:t>
      </w:r>
    </w:p>
    <w:p>
      <w:pPr>
        <w:keepNext/>
        <w:spacing w:before="60" w:after="40"/>
      </w:pPr>
      <w:r>
        <w:rPr>
          <w:rFonts w:ascii="Times New Roman" w:hAnsi="Times New Roman"/>
          <w:b/>
          <w:i w:val="0"/>
          <w:sz w:val="19"/>
        </w:rPr>
        <w:t>A. Dataset Quality Index</w:t>
      </w:r>
    </w:p>
    <w:p>
      <w:pPr>
        <w:spacing w:before="0" w:after="60" w:line="240" w:lineRule="auto"/>
        <w:ind w:firstLine="202"/>
      </w:pPr>
      <w:r>
        <w:rPr>
          <w:rFonts w:ascii="Times New Roman" w:hAnsi="Times New Roman"/>
          <w:b w:val="0"/>
          <w:i w:val="0"/>
          <w:sz w:val="18"/>
        </w:rPr>
        <w:t>The exploratory Dataset Quality Index (DQI) is a weighted mean of duplicate quality, prompt coverage, category entropy, novelty, difficulty entropy, and category balance. With component values c_k and non-negative weights w_k, the implemented calculation is DQI = sum_k w_k c_k / sum_k w_k. Novelty is zero when no embeddings are supplied; this is an implementation convention and not evidence that the dataset lacks novelty. DQI must therefore be reported as exploratory only.</w:t>
      </w:r>
    </w:p>
    <w:p>
      <w:pPr>
        <w:keepNext/>
        <w:spacing w:before="60" w:after="40"/>
      </w:pPr>
      <w:r>
        <w:rPr>
          <w:rFonts w:ascii="Times New Roman" w:hAnsi="Times New Roman"/>
          <w:b/>
          <w:i w:val="0"/>
          <w:sz w:val="19"/>
        </w:rPr>
        <w:t>B. Recovery Capability</w:t>
      </w:r>
    </w:p>
    <w:p>
      <w:pPr>
        <w:spacing w:before="0" w:after="60" w:line="240" w:lineRule="auto"/>
        <w:ind w:firstLine="202"/>
      </w:pPr>
      <w:r>
        <w:rPr>
          <w:rFonts w:ascii="Times New Roman" w:hAnsi="Times New Roman"/>
          <w:b w:val="0"/>
          <w:i w:val="0"/>
          <w:sz w:val="18"/>
        </w:rPr>
        <w:t>For an active behavioral vector with m dimensions, the primary RC distance is d(X,Y) = sqrt[(1/m) sum_j (X_j - Y_j)^2]. Given baseline mean Bbar, attack state A, and recovery states R_t, the attack displacement is Delta_A = d(A,Bbar), and each recovery displacement is Delta_t = d(R_t,Bbar). The primary raw score is RC_AUC_raw = 1 - mean_t(Delta_t)/Delta_A. Terminal recovery is 1 - Delta_n/Delta_A. Both are null unless safety and helpfulness are available, context is retained, and a compatible external calibration artifact supplies a positive Delta_A applicability floor.</w:t>
      </w:r>
    </w:p>
    <w:p>
      <w:pPr>
        <w:keepNext/>
        <w:spacing w:before="60" w:after="40"/>
      </w:pPr>
      <w:r>
        <w:rPr>
          <w:rFonts w:ascii="Times New Roman" w:hAnsi="Times New Roman"/>
          <w:b/>
          <w:i w:val="0"/>
          <w:sz w:val="19"/>
        </w:rPr>
        <w:t>C. Sequential Attack Evaluation</w:t>
      </w:r>
    </w:p>
    <w:p>
      <w:pPr>
        <w:spacing w:before="0" w:after="60" w:line="240" w:lineRule="auto"/>
        <w:ind w:firstLine="202"/>
      </w:pPr>
      <w:r>
        <w:rPr>
          <w:rFonts w:ascii="Times New Roman" w:hAnsi="Times New Roman"/>
          <w:b w:val="0"/>
          <w:i w:val="0"/>
          <w:sz w:val="18"/>
        </w:rPr>
        <w:t>For ordered states s_i, SAEA retains per-step deviation Delta_i = d(s_i,Bbar), observed cumulative deviation CV_obs = (1/L) sum_i Delta_i, and the candidate Bliss null E_Bliss = 1 - product_i(1 - Delta_i) under normalized Euclidean Delta_max = 1. A sequence-context effect DeltaV_i = Delta_i - V_iso(A_i) is allowed only when the isolated comparison is commensurate and matched. The framework never zero-fills a missing dimension or treats an undefined interaction as no interaction.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1037"/>
            <w:shd w:fill="17365D"/>
            <w:tcMar>
              <w:top w:w="80" w:type="dxa"/>
              <w:start w:w="100" w:type="dxa"/>
              <w:bottom w:w="80" w:type="dxa"/>
              <w:end w:w="100" w:type="dxa"/>
            </w:tcMar>
            <w:vAlign w:val="center"/>
          </w:tcPr>
          <w:p>
            <w:pPr>
              <w:jc w:val="center"/>
            </w:pPr>
            <w:r>
              <w:rPr>
                <w:rFonts w:ascii="Times New Roman" w:hAnsi="Times New Roman"/>
                <w:b/>
                <w:i w:val="0"/>
                <w:color w:val="FFFFFF"/>
                <w:sz w:val="15"/>
              </w:rPr>
              <w:t>Family</w:t>
            </w:r>
          </w:p>
        </w:tc>
        <w:tc>
          <w:tcPr>
            <w:tcW w:type="dxa" w:w="4550"/>
            <w:shd w:fill="17365D"/>
            <w:tcMar>
              <w:top w:w="80" w:type="dxa"/>
              <w:start w:w="100" w:type="dxa"/>
              <w:bottom w:w="80" w:type="dxa"/>
              <w:end w:w="100" w:type="dxa"/>
            </w:tcMar>
            <w:vAlign w:val="center"/>
          </w:tcPr>
          <w:p>
            <w:pPr>
              <w:jc w:val="center"/>
            </w:pPr>
            <w:r>
              <w:rPr>
                <w:rFonts w:ascii="Times New Roman" w:hAnsi="Times New Roman"/>
                <w:b/>
                <w:i w:val="0"/>
                <w:color w:val="FFFFFF"/>
                <w:sz w:val="15"/>
              </w:rPr>
              <w:t>Permitted calculation</w:t>
            </w:r>
          </w:p>
        </w:tc>
        <w:tc>
          <w:tcPr>
            <w:tcW w:type="dxa" w:w="3902"/>
            <w:shd w:fill="17365D"/>
            <w:tcMar>
              <w:top w:w="80" w:type="dxa"/>
              <w:start w:w="100" w:type="dxa"/>
              <w:bottom w:w="80" w:type="dxa"/>
              <w:end w:w="100" w:type="dxa"/>
            </w:tcMar>
            <w:vAlign w:val="center"/>
          </w:tcPr>
          <w:p>
            <w:pPr>
              <w:jc w:val="center"/>
            </w:pPr>
            <w:r>
              <w:rPr>
                <w:rFonts w:ascii="Times New Roman" w:hAnsi="Times New Roman"/>
                <w:b/>
                <w:i w:val="0"/>
                <w:color w:val="FFFFFF"/>
                <w:sz w:val="15"/>
              </w:rPr>
              <w:t>Current output state</w:t>
            </w:r>
          </w:p>
        </w:tc>
      </w:tr>
      <w:tr>
        <w:tc>
          <w:tcPr>
            <w:tcW w:type="dxa" w:w="1037"/>
            <w:vAlign w:val="center"/>
            <w:tcMar>
              <w:top w:w="80" w:type="dxa"/>
              <w:start w:w="100" w:type="dxa"/>
              <w:bottom w:w="80" w:type="dxa"/>
              <w:end w:w="100" w:type="dxa"/>
            </w:tcMar>
          </w:tcPr>
          <w:p>
            <w:pPr>
              <w:jc w:val="left"/>
            </w:pPr>
            <w:r>
              <w:rPr>
                <w:rFonts w:ascii="Times New Roman" w:hAnsi="Times New Roman"/>
                <w:b w:val="0"/>
                <w:i w:val="0"/>
                <w:sz w:val="15"/>
              </w:rPr>
              <w:t>BSDA</w:t>
            </w:r>
          </w:p>
        </w:tc>
        <w:tc>
          <w:tcPr>
            <w:tcW w:type="dxa" w:w="4550"/>
            <w:vAlign w:val="center"/>
            <w:tcMar>
              <w:top w:w="80" w:type="dxa"/>
              <w:start w:w="100" w:type="dxa"/>
              <w:bottom w:w="80" w:type="dxa"/>
              <w:end w:w="100" w:type="dxa"/>
            </w:tcMar>
          </w:tcPr>
          <w:p>
            <w:pPr>
              <w:jc w:val="center"/>
            </w:pPr>
            <w:r>
              <w:rPr>
                <w:rFonts w:ascii="Times New Roman" w:hAnsi="Times New Roman"/>
                <w:b w:val="0"/>
                <w:i w:val="0"/>
                <w:sz w:val="15"/>
              </w:rPr>
              <w:t>Four separate components: semantic, safety, instruction, structural</w:t>
            </w:r>
          </w:p>
        </w:tc>
        <w:tc>
          <w:tcPr>
            <w:tcW w:type="dxa" w:w="3902"/>
            <w:vAlign w:val="center"/>
            <w:tcMar>
              <w:top w:w="80" w:type="dxa"/>
              <w:start w:w="100" w:type="dxa"/>
              <w:bottom w:w="80" w:type="dxa"/>
              <w:end w:w="100" w:type="dxa"/>
            </w:tcMar>
          </w:tcPr>
          <w:p>
            <w:pPr>
              <w:jc w:val="center"/>
            </w:pPr>
            <w:r>
              <w:rPr>
                <w:rFonts w:ascii="Times New Roman" w:hAnsi="Times New Roman"/>
                <w:b w:val="0"/>
                <w:i w:val="0"/>
                <w:sz w:val="15"/>
              </w:rPr>
              <w:t>No composite score</w:t>
            </w:r>
          </w:p>
        </w:tc>
      </w:tr>
      <w:tr>
        <w:tc>
          <w:tcPr>
            <w:tcW w:type="dxa" w:w="1037"/>
            <w:vAlign w:val="center"/>
            <w:tcMar>
              <w:top w:w="80" w:type="dxa"/>
              <w:start w:w="100" w:type="dxa"/>
              <w:bottom w:w="80" w:type="dxa"/>
              <w:end w:w="100" w:type="dxa"/>
            </w:tcMar>
            <w:shd w:fill="F2F2F2"/>
          </w:tcPr>
          <w:p>
            <w:pPr>
              <w:jc w:val="left"/>
            </w:pPr>
            <w:r>
              <w:rPr>
                <w:rFonts w:ascii="Times New Roman" w:hAnsi="Times New Roman"/>
                <w:b w:val="0"/>
                <w:i w:val="0"/>
                <w:sz w:val="15"/>
              </w:rPr>
              <w:t>RC</w:t>
            </w:r>
          </w:p>
        </w:tc>
        <w:tc>
          <w:tcPr>
            <w:tcW w:type="dxa" w:w="4550"/>
            <w:vAlign w:val="center"/>
            <w:tcMar>
              <w:top w:w="80" w:type="dxa"/>
              <w:start w:w="100" w:type="dxa"/>
              <w:bottom w:w="80" w:type="dxa"/>
              <w:end w:w="100" w:type="dxa"/>
            </w:tcMar>
            <w:shd w:fill="F2F2F2"/>
          </w:tcPr>
          <w:p>
            <w:pPr>
              <w:jc w:val="center"/>
            </w:pPr>
            <w:r>
              <w:rPr>
                <w:rFonts w:ascii="Times New Roman" w:hAnsi="Times New Roman"/>
                <w:b w:val="0"/>
                <w:i w:val="0"/>
                <w:sz w:val="15"/>
              </w:rPr>
              <w:t>Normalized Euclidean recovery trajectory</w:t>
            </w:r>
          </w:p>
        </w:tc>
        <w:tc>
          <w:tcPr>
            <w:tcW w:type="dxa" w:w="3902"/>
            <w:vAlign w:val="center"/>
            <w:tcMar>
              <w:top w:w="80" w:type="dxa"/>
              <w:start w:w="100" w:type="dxa"/>
              <w:bottom w:w="80" w:type="dxa"/>
              <w:end w:w="100" w:type="dxa"/>
            </w:tcMar>
            <w:shd w:fill="F2F2F2"/>
          </w:tcPr>
          <w:p>
            <w:pPr>
              <w:jc w:val="center"/>
            </w:pPr>
            <w:r>
              <w:rPr>
                <w:rFonts w:ascii="Times New Roman" w:hAnsi="Times New Roman"/>
                <w:b w:val="0"/>
                <w:i w:val="0"/>
                <w:sz w:val="15"/>
              </w:rPr>
              <w:t>Null if uncalibrated/incompatible</w:t>
            </w:r>
          </w:p>
        </w:tc>
      </w:tr>
      <w:tr>
        <w:tc>
          <w:tcPr>
            <w:tcW w:type="dxa" w:w="1037"/>
            <w:vAlign w:val="center"/>
            <w:tcMar>
              <w:top w:w="80" w:type="dxa"/>
              <w:start w:w="100" w:type="dxa"/>
              <w:bottom w:w="80" w:type="dxa"/>
              <w:end w:w="100" w:type="dxa"/>
            </w:tcMar>
          </w:tcPr>
          <w:p>
            <w:pPr>
              <w:jc w:val="left"/>
            </w:pPr>
            <w:r>
              <w:rPr>
                <w:rFonts w:ascii="Times New Roman" w:hAnsi="Times New Roman"/>
                <w:b w:val="0"/>
                <w:i w:val="0"/>
                <w:sz w:val="15"/>
              </w:rPr>
              <w:t>SAEA</w:t>
            </w:r>
          </w:p>
        </w:tc>
        <w:tc>
          <w:tcPr>
            <w:tcW w:type="dxa" w:w="4550"/>
            <w:vAlign w:val="center"/>
            <w:tcMar>
              <w:top w:w="80" w:type="dxa"/>
              <w:start w:w="100" w:type="dxa"/>
              <w:bottom w:w="80" w:type="dxa"/>
              <w:end w:w="100" w:type="dxa"/>
            </w:tcMar>
          </w:tcPr>
          <w:p>
            <w:pPr>
              <w:jc w:val="center"/>
            </w:pPr>
            <w:r>
              <w:rPr>
                <w:rFonts w:ascii="Times New Roman" w:hAnsi="Times New Roman"/>
                <w:b w:val="0"/>
                <w:i w:val="0"/>
                <w:sz w:val="15"/>
              </w:rPr>
              <w:t>Per-step, CV_obs, candidate null diagnostics</w:t>
            </w:r>
          </w:p>
        </w:tc>
        <w:tc>
          <w:tcPr>
            <w:tcW w:type="dxa" w:w="3902"/>
            <w:vAlign w:val="center"/>
            <w:tcMar>
              <w:top w:w="80" w:type="dxa"/>
              <w:start w:w="100" w:type="dxa"/>
              <w:bottom w:w="80" w:type="dxa"/>
              <w:end w:w="100" w:type="dxa"/>
            </w:tcMar>
          </w:tcPr>
          <w:p>
            <w:pPr>
              <w:jc w:val="center"/>
            </w:pPr>
            <w:r>
              <w:rPr>
                <w:rFonts w:ascii="Times New Roman" w:hAnsi="Times New Roman"/>
                <w:b w:val="0"/>
                <w:i w:val="0"/>
                <w:sz w:val="15"/>
              </w:rPr>
              <w:t>Requires matched trajectories</w:t>
            </w:r>
          </w:p>
        </w:tc>
      </w:tr>
      <w:tr>
        <w:tc>
          <w:tcPr>
            <w:tcW w:type="dxa" w:w="1037"/>
            <w:vAlign w:val="center"/>
            <w:tcMar>
              <w:top w:w="80" w:type="dxa"/>
              <w:start w:w="100" w:type="dxa"/>
              <w:bottom w:w="80" w:type="dxa"/>
              <w:end w:w="100" w:type="dxa"/>
            </w:tcMar>
            <w:shd w:fill="F2F2F2"/>
          </w:tcPr>
          <w:p>
            <w:pPr>
              <w:jc w:val="left"/>
            </w:pPr>
            <w:r>
              <w:rPr>
                <w:rFonts w:ascii="Times New Roman" w:hAnsi="Times New Roman"/>
                <w:b w:val="0"/>
                <w:i w:val="0"/>
                <w:sz w:val="15"/>
              </w:rPr>
              <w:t>DRAA</w:t>
            </w:r>
          </w:p>
        </w:tc>
        <w:tc>
          <w:tcPr>
            <w:tcW w:type="dxa" w:w="4550"/>
            <w:vAlign w:val="center"/>
            <w:tcMar>
              <w:top w:w="80" w:type="dxa"/>
              <w:start w:w="100" w:type="dxa"/>
              <w:bottom w:w="80" w:type="dxa"/>
              <w:end w:w="100" w:type="dxa"/>
            </w:tcMar>
            <w:shd w:fill="F2F2F2"/>
          </w:tcPr>
          <w:p>
            <w:pPr>
              <w:jc w:val="center"/>
            </w:pPr>
            <w:r>
              <w:rPr>
                <w:rFonts w:ascii="Times New Roman" w:hAnsi="Times New Roman"/>
                <w:b w:val="0"/>
                <w:i w:val="0"/>
                <w:sz w:val="15"/>
              </w:rPr>
              <w:t>Evidence transport and missingness provenance</w:t>
            </w:r>
          </w:p>
        </w:tc>
        <w:tc>
          <w:tcPr>
            <w:tcW w:type="dxa" w:w="3902"/>
            <w:vAlign w:val="center"/>
            <w:tcMar>
              <w:top w:w="80" w:type="dxa"/>
              <w:start w:w="100" w:type="dxa"/>
              <w:bottom w:w="80" w:type="dxa"/>
              <w:end w:w="100" w:type="dxa"/>
            </w:tcMar>
            <w:shd w:fill="F2F2F2"/>
          </w:tcPr>
          <w:p>
            <w:pPr>
              <w:jc w:val="center"/>
            </w:pPr>
            <w:r>
              <w:rPr>
                <w:rFonts w:ascii="Times New Roman" w:hAnsi="Times New Roman"/>
                <w:b w:val="0"/>
                <w:i w:val="0"/>
                <w:sz w:val="15"/>
              </w:rPr>
              <w:t>risk_score = null</w:t>
            </w:r>
          </w:p>
        </w:tc>
      </w:tr>
      <w:tr>
        <w:tc>
          <w:tcPr>
            <w:tcW w:type="dxa" w:w="1037"/>
            <w:vAlign w:val="center"/>
            <w:tcMar>
              <w:top w:w="80" w:type="dxa"/>
              <w:start w:w="100" w:type="dxa"/>
              <w:bottom w:w="80" w:type="dxa"/>
              <w:end w:w="100" w:type="dxa"/>
            </w:tcMar>
          </w:tcPr>
          <w:p>
            <w:pPr>
              <w:jc w:val="left"/>
            </w:pPr>
            <w:r>
              <w:rPr>
                <w:rFonts w:ascii="Times New Roman" w:hAnsi="Times New Roman"/>
                <w:b w:val="0"/>
                <w:i w:val="0"/>
                <w:sz w:val="15"/>
              </w:rPr>
              <w:t>PRI</w:t>
            </w:r>
          </w:p>
        </w:tc>
        <w:tc>
          <w:tcPr>
            <w:tcW w:type="dxa" w:w="4550"/>
            <w:vAlign w:val="center"/>
            <w:tcMar>
              <w:top w:w="80" w:type="dxa"/>
              <w:start w:w="100" w:type="dxa"/>
              <w:bottom w:w="80" w:type="dxa"/>
              <w:end w:w="100" w:type="dxa"/>
            </w:tcMar>
          </w:tcPr>
          <w:p>
            <w:pPr>
              <w:jc w:val="center"/>
            </w:pPr>
            <w:r>
              <w:rPr>
                <w:rFonts w:ascii="Times New Roman" w:hAnsi="Times New Roman"/>
                <w:b w:val="0"/>
                <w:i w:val="0"/>
                <w:sz w:val="15"/>
              </w:rPr>
              <w:t>Model/configuration evidence profile</w:t>
            </w:r>
          </w:p>
        </w:tc>
        <w:tc>
          <w:tcPr>
            <w:tcW w:type="dxa" w:w="3902"/>
            <w:vAlign w:val="center"/>
            <w:tcMar>
              <w:top w:w="80" w:type="dxa"/>
              <w:start w:w="100" w:type="dxa"/>
              <w:bottom w:w="80" w:type="dxa"/>
              <w:end w:w="100" w:type="dxa"/>
            </w:tcMar>
          </w:tcPr>
          <w:p>
            <w:pPr>
              <w:jc w:val="center"/>
            </w:pPr>
            <w:r>
              <w:rPr>
                <w:rFonts w:ascii="Times New Roman" w:hAnsi="Times New Roman"/>
                <w:b w:val="0"/>
                <w:i w:val="0"/>
                <w:sz w:val="15"/>
              </w:rPr>
              <w:t>scalar_pri = null</w:t>
            </w:r>
          </w:p>
        </w:tc>
      </w:tr>
    </w:tbl>
    <w:p>
      <w:pPr>
        <w:spacing w:after="0"/>
      </w:pPr>
    </w:p>
    <w:p>
      <w:pPr>
        <w:spacing w:before="20" w:after="80"/>
        <w:jc w:val="center"/>
      </w:pPr>
      <w:r>
        <w:rPr>
          <w:rFonts w:ascii="Times New Roman" w:hAnsi="Times New Roman"/>
          <w:b w:val="0"/>
          <w:i/>
          <w:sz w:val="16"/>
        </w:rPr>
        <w:t>TABLE II. Metric families and enforced output boundaries.</w:t>
      </w:r>
    </w:p>
    <w:p>
      <w:pPr>
        <w:keepNext/>
        <w:spacing w:before="60" w:after="40"/>
      </w:pPr>
      <w:r>
        <w:rPr>
          <w:rFonts w:ascii="Times New Roman" w:hAnsi="Times New Roman"/>
          <w:b/>
          <w:i w:val="0"/>
          <w:sz w:val="19"/>
        </w:rPr>
        <w:t>D. Outcome and Human Validation</w:t>
      </w:r>
    </w:p>
    <w:p>
      <w:pPr>
        <w:spacing w:before="0" w:after="60" w:line="240" w:lineRule="auto"/>
        <w:ind w:firstLine="202"/>
      </w:pPr>
      <w:r>
        <w:rPr>
          <w:rFonts w:ascii="Times New Roman" w:hAnsi="Times New Roman"/>
          <w:b w:val="0"/>
          <w:i w:val="0"/>
          <w:sz w:val="18"/>
        </w:rPr>
        <w:t>ASR is calculated only from explicit classified outcome records: ASR = successes / classified denominator. Layer 1 or Layer 2 values cannot silently become success labels. The repository includes blinded sample export, agreement rate, Cohen’s kappa, Fleiss kappa, and confusion-matrix utilities for a future independent rater protocol. These utilities are workflow support, not evidence that human validation has occurred.</w:t>
      </w:r>
    </w:p>
    <w:p>
      <w:r>
        <w:br w:type="page"/>
      </w:r>
    </w:p>
    <w:p>
      <w:pPr>
        <w:keepNext/>
        <w:spacing w:before="100" w:after="40"/>
      </w:pPr>
      <w:r>
        <w:rPr>
          <w:rFonts w:ascii="Times New Roman" w:hAnsi="Times New Roman"/>
          <w:b/>
          <w:i w:val="0"/>
          <w:sz w:val="20"/>
        </w:rPr>
        <w:t>IV. LOCAL ENGINEERING TRACE</w:t>
      </w:r>
    </w:p>
    <w:p>
      <w:pPr>
        <w:spacing w:before="0" w:after="60" w:line="240" w:lineRule="auto"/>
        <w:ind w:firstLine="202"/>
      </w:pPr>
      <w:r>
        <w:rPr>
          <w:rFonts w:ascii="Times New Roman" w:hAnsi="Times New Roman"/>
          <w:b w:val="0"/>
          <w:i w:val="0"/>
          <w:sz w:val="18"/>
        </w:rPr>
        <w:t>A real local trace was executed with qwen3.5:2b as the target model and gemma3:4b as the local judge. The trace used the repository example dataset hash b395724a958530e590e2800a9a3c351fb702c6bb0b36327cb81070d0b8375c1c, temperature 0.0, seed 2026, and a 128-token generation limit. It evaluated a baseline task, an isolated injection prompt, a two-step sequence, and a recovery instruction. The purpose of the trace was to verify runtime integration, not to estimate security performance.</w:t>
      </w:r>
    </w:p>
    <w:p>
      <w:pPr>
        <w:jc w:val="center"/>
      </w:pPr>
      <w:r>
        <w:drawing>
          <wp:inline xmlns:a="http://schemas.openxmlformats.org/drawingml/2006/main" xmlns:pic="http://schemas.openxmlformats.org/drawingml/2006/picture">
            <wp:extent cx="6172200" cy="3291840"/>
            <wp:docPr id="2" name="Picture 2"/>
            <wp:cNvGraphicFramePr>
              <a:graphicFrameLocks noChangeAspect="1"/>
            </wp:cNvGraphicFramePr>
            <a:graphic>
              <a:graphicData uri="http://schemas.openxmlformats.org/drawingml/2006/picture">
                <pic:pic>
                  <pic:nvPicPr>
                    <pic:cNvPr id="0" name="latency.png"/>
                    <pic:cNvPicPr/>
                  </pic:nvPicPr>
                  <pic:blipFill>
                    <a:blip r:embed="rId12"/>
                    <a:stretch>
                      <a:fillRect/>
                    </a:stretch>
                  </pic:blipFill>
                  <pic:spPr>
                    <a:xfrm>
                      <a:off x="0" y="0"/>
                      <a:ext cx="6172200" cy="3291840"/>
                    </a:xfrm>
                    <a:prstGeom prst="rect"/>
                  </pic:spPr>
                </pic:pic>
              </a:graphicData>
            </a:graphic>
          </wp:inline>
        </w:drawing>
      </w:r>
    </w:p>
    <w:p>
      <w:pPr>
        <w:spacing w:before="20" w:after="80"/>
        <w:jc w:val="center"/>
      </w:pPr>
      <w:r>
        <w:rPr>
          <w:rFonts w:ascii="Times New Roman" w:hAnsi="Times New Roman"/>
          <w:b w:val="0"/>
          <w:i/>
          <w:sz w:val="16"/>
        </w:rPr>
        <w:t>Fig. 2. Stage-level latency from the local trace. Mean across five stages: 1448.0 ms; sample standard deviation: 85.3 ms.</w:t>
      </w:r>
    </w:p>
    <w:p>
      <w:pPr>
        <w:keepNext/>
        <w:spacing w:before="60" w:after="40"/>
      </w:pPr>
      <w:r>
        <w:rPr>
          <w:rFonts w:ascii="Times New Roman" w:hAnsi="Times New Roman"/>
          <w:b/>
          <w:i w:val="0"/>
          <w:sz w:val="19"/>
        </w:rPr>
        <w:t>A. Observed Runtime Values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642"/>
        <w:gridCol w:w="2642"/>
        <w:gridCol w:w="2642"/>
        <w:gridCol w:w="2642"/>
      </w:tblGrid>
      <w:tr>
        <w:trPr>
          <w:tblHeader w:val="true"/>
        </w:trPr>
        <w:tc>
          <w:tcPr>
            <w:tcW w:type="dxa" w:w="2088"/>
            <w:shd w:fill="17365D"/>
            <w:tcMar>
              <w:top w:w="80" w:type="dxa"/>
              <w:start w:w="100" w:type="dxa"/>
              <w:bottom w:w="80" w:type="dxa"/>
              <w:end w:w="100" w:type="dxa"/>
            </w:tcMar>
            <w:vAlign w:val="center"/>
          </w:tcPr>
          <w:p>
            <w:pPr>
              <w:jc w:val="center"/>
            </w:pPr>
            <w:r>
              <w:rPr>
                <w:rFonts w:ascii="Times New Roman" w:hAnsi="Times New Roman"/>
                <w:b/>
                <w:i w:val="0"/>
                <w:color w:val="FFFFFF"/>
                <w:sz w:val="15"/>
              </w:rPr>
              <w:t>Stage</w:t>
            </w:r>
          </w:p>
        </w:tc>
        <w:tc>
          <w:tcPr>
            <w:tcW w:type="dxa" w:w="1800"/>
            <w:shd w:fill="17365D"/>
            <w:tcMar>
              <w:top w:w="80" w:type="dxa"/>
              <w:start w:w="100" w:type="dxa"/>
              <w:bottom w:w="80" w:type="dxa"/>
              <w:end w:w="100" w:type="dxa"/>
            </w:tcMar>
            <w:vAlign w:val="center"/>
          </w:tcPr>
          <w:p>
            <w:pPr>
              <w:jc w:val="center"/>
            </w:pPr>
            <w:r>
              <w:rPr>
                <w:rFonts w:ascii="Times New Roman" w:hAnsi="Times New Roman"/>
                <w:b/>
                <w:i w:val="0"/>
                <w:color w:val="FFFFFF"/>
                <w:sz w:val="15"/>
              </w:rPr>
              <w:t>Latency (ms)</w:t>
            </w:r>
          </w:p>
        </w:tc>
        <w:tc>
          <w:tcPr>
            <w:tcW w:type="dxa" w:w="1944"/>
            <w:shd w:fill="17365D"/>
            <w:tcMar>
              <w:top w:w="80" w:type="dxa"/>
              <w:start w:w="100" w:type="dxa"/>
              <w:bottom w:w="80" w:type="dxa"/>
              <w:end w:w="100" w:type="dxa"/>
            </w:tcMar>
            <w:vAlign w:val="center"/>
          </w:tcPr>
          <w:p>
            <w:pPr>
              <w:jc w:val="center"/>
            </w:pPr>
            <w:r>
              <w:rPr>
                <w:rFonts w:ascii="Times New Roman" w:hAnsi="Times New Roman"/>
                <w:b/>
                <w:i w:val="0"/>
                <w:color w:val="FFFFFF"/>
                <w:sz w:val="15"/>
              </w:rPr>
              <w:t>Finish reason</w:t>
            </w:r>
          </w:p>
        </w:tc>
        <w:tc>
          <w:tcPr>
            <w:tcW w:type="dxa" w:w="1944"/>
            <w:shd w:fill="17365D"/>
            <w:tcMar>
              <w:top w:w="80" w:type="dxa"/>
              <w:start w:w="100" w:type="dxa"/>
              <w:bottom w:w="80" w:type="dxa"/>
              <w:end w:w="100" w:type="dxa"/>
            </w:tcMar>
            <w:vAlign w:val="center"/>
          </w:tcPr>
          <w:p>
            <w:pPr>
              <w:jc w:val="center"/>
            </w:pPr>
            <w:r>
              <w:rPr>
                <w:rFonts w:ascii="Times New Roman" w:hAnsi="Times New Roman"/>
                <w:b/>
                <w:i w:val="0"/>
                <w:color w:val="FFFFFF"/>
                <w:sz w:val="15"/>
              </w:rPr>
              <w:t>Layer 1 aggregate</w:t>
            </w:r>
          </w:p>
        </w:tc>
      </w:tr>
      <w:tr>
        <w:tc>
          <w:tcPr>
            <w:tcW w:type="dxa" w:w="2088"/>
            <w:vAlign w:val="center"/>
            <w:tcMar>
              <w:top w:w="80" w:type="dxa"/>
              <w:start w:w="100" w:type="dxa"/>
              <w:bottom w:w="80" w:type="dxa"/>
              <w:end w:w="100" w:type="dxa"/>
            </w:tcMar>
          </w:tcPr>
          <w:p>
            <w:pPr>
              <w:jc w:val="left"/>
            </w:pPr>
            <w:r>
              <w:rPr>
                <w:rFonts w:ascii="Times New Roman" w:hAnsi="Times New Roman"/>
                <w:b w:val="0"/>
                <w:i w:val="0"/>
                <w:sz w:val="15"/>
              </w:rPr>
              <w:t>Baseline</w:t>
            </w:r>
          </w:p>
        </w:tc>
        <w:tc>
          <w:tcPr>
            <w:tcW w:type="dxa" w:w="1800"/>
            <w:vAlign w:val="center"/>
            <w:tcMar>
              <w:top w:w="80" w:type="dxa"/>
              <w:start w:w="100" w:type="dxa"/>
              <w:bottom w:w="80" w:type="dxa"/>
              <w:end w:w="100" w:type="dxa"/>
            </w:tcMar>
          </w:tcPr>
          <w:p>
            <w:pPr>
              <w:jc w:val="center"/>
            </w:pPr>
            <w:r>
              <w:rPr>
                <w:rFonts w:ascii="Times New Roman" w:hAnsi="Times New Roman"/>
                <w:b w:val="0"/>
                <w:i w:val="0"/>
                <w:sz w:val="15"/>
              </w:rPr>
              <w:t>1598.4</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shd w:fill="F2F2F2"/>
          </w:tcPr>
          <w:p>
            <w:pPr>
              <w:jc w:val="left"/>
            </w:pPr>
            <w:r>
              <w:rPr>
                <w:rFonts w:ascii="Times New Roman" w:hAnsi="Times New Roman"/>
                <w:b w:val="0"/>
                <w:i w:val="0"/>
                <w:sz w:val="15"/>
              </w:rPr>
              <w:t>Isolated attack</w:t>
            </w:r>
          </w:p>
        </w:tc>
        <w:tc>
          <w:tcPr>
            <w:tcW w:type="dxa" w:w="1800"/>
            <w:vAlign w:val="center"/>
            <w:tcMar>
              <w:top w:w="80" w:type="dxa"/>
              <w:start w:w="100" w:type="dxa"/>
              <w:bottom w:w="80" w:type="dxa"/>
              <w:end w:w="100" w:type="dxa"/>
            </w:tcMar>
            <w:shd w:fill="F2F2F2"/>
          </w:tcPr>
          <w:p>
            <w:pPr>
              <w:jc w:val="center"/>
            </w:pPr>
            <w:r>
              <w:rPr>
                <w:rFonts w:ascii="Times New Roman" w:hAnsi="Times New Roman"/>
                <w:b w:val="0"/>
                <w:i w:val="0"/>
                <w:sz w:val="15"/>
              </w:rPr>
              <w:t>1431.9</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tcPr>
          <w:p>
            <w:pPr>
              <w:jc w:val="left"/>
            </w:pPr>
            <w:r>
              <w:rPr>
                <w:rFonts w:ascii="Times New Roman" w:hAnsi="Times New Roman"/>
                <w:b w:val="0"/>
                <w:i w:val="0"/>
                <w:sz w:val="15"/>
              </w:rPr>
              <w:t>Sequence 1</w:t>
            </w:r>
          </w:p>
        </w:tc>
        <w:tc>
          <w:tcPr>
            <w:tcW w:type="dxa" w:w="1800"/>
            <w:vAlign w:val="center"/>
            <w:tcMar>
              <w:top w:w="80" w:type="dxa"/>
              <w:start w:w="100" w:type="dxa"/>
              <w:bottom w:w="80" w:type="dxa"/>
              <w:end w:w="100" w:type="dxa"/>
            </w:tcMar>
          </w:tcPr>
          <w:p>
            <w:pPr>
              <w:jc w:val="center"/>
            </w:pPr>
            <w:r>
              <w:rPr>
                <w:rFonts w:ascii="Times New Roman" w:hAnsi="Times New Roman"/>
                <w:b w:val="0"/>
                <w:i w:val="0"/>
                <w:sz w:val="15"/>
              </w:rPr>
              <w:t>1392.4</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shd w:fill="F2F2F2"/>
          </w:tcPr>
          <w:p>
            <w:pPr>
              <w:jc w:val="left"/>
            </w:pPr>
            <w:r>
              <w:rPr>
                <w:rFonts w:ascii="Times New Roman" w:hAnsi="Times New Roman"/>
                <w:b w:val="0"/>
                <w:i w:val="0"/>
                <w:sz w:val="15"/>
              </w:rPr>
              <w:t>Sequence 2</w:t>
            </w:r>
          </w:p>
        </w:tc>
        <w:tc>
          <w:tcPr>
            <w:tcW w:type="dxa" w:w="1800"/>
            <w:vAlign w:val="center"/>
            <w:tcMar>
              <w:top w:w="80" w:type="dxa"/>
              <w:start w:w="100" w:type="dxa"/>
              <w:bottom w:w="80" w:type="dxa"/>
              <w:end w:w="100" w:type="dxa"/>
            </w:tcMar>
            <w:shd w:fill="F2F2F2"/>
          </w:tcPr>
          <w:p>
            <w:pPr>
              <w:jc w:val="center"/>
            </w:pPr>
            <w:r>
              <w:rPr>
                <w:rFonts w:ascii="Times New Roman" w:hAnsi="Times New Roman"/>
                <w:b w:val="0"/>
                <w:i w:val="0"/>
                <w:sz w:val="15"/>
              </w:rPr>
              <w:t>1406.9</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0.0</w:t>
            </w:r>
          </w:p>
        </w:tc>
      </w:tr>
      <w:tr>
        <w:tc>
          <w:tcPr>
            <w:tcW w:type="dxa" w:w="2088"/>
            <w:vAlign w:val="center"/>
            <w:tcMar>
              <w:top w:w="80" w:type="dxa"/>
              <w:start w:w="100" w:type="dxa"/>
              <w:bottom w:w="80" w:type="dxa"/>
              <w:end w:w="100" w:type="dxa"/>
            </w:tcMar>
          </w:tcPr>
          <w:p>
            <w:pPr>
              <w:jc w:val="left"/>
            </w:pPr>
            <w:r>
              <w:rPr>
                <w:rFonts w:ascii="Times New Roman" w:hAnsi="Times New Roman"/>
                <w:b w:val="0"/>
                <w:i w:val="0"/>
                <w:sz w:val="15"/>
              </w:rPr>
              <w:t>Recovery</w:t>
            </w:r>
          </w:p>
        </w:tc>
        <w:tc>
          <w:tcPr>
            <w:tcW w:type="dxa" w:w="1800"/>
            <w:vAlign w:val="center"/>
            <w:tcMar>
              <w:top w:w="80" w:type="dxa"/>
              <w:start w:w="100" w:type="dxa"/>
              <w:bottom w:w="80" w:type="dxa"/>
              <w:end w:w="100" w:type="dxa"/>
            </w:tcMar>
          </w:tcPr>
          <w:p>
            <w:pPr>
              <w:jc w:val="center"/>
            </w:pPr>
            <w:r>
              <w:rPr>
                <w:rFonts w:ascii="Times New Roman" w:hAnsi="Times New Roman"/>
                <w:b w:val="0"/>
                <w:i w:val="0"/>
                <w:sz w:val="15"/>
              </w:rPr>
              <w:t>1410.5</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length</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0.0</w:t>
            </w:r>
          </w:p>
        </w:tc>
      </w:tr>
    </w:tbl>
    <w:p>
      <w:pPr>
        <w:spacing w:after="0"/>
      </w:pPr>
    </w:p>
    <w:p>
      <w:pPr>
        <w:spacing w:before="20" w:after="80"/>
        <w:jc w:val="center"/>
      </w:pPr>
      <w:r>
        <w:rPr>
          <w:rFonts w:ascii="Times New Roman" w:hAnsi="Times New Roman"/>
          <w:b w:val="0"/>
          <w:i/>
          <w:sz w:val="16"/>
        </w:rPr>
        <w:t>TABLE III. Local engineering trace outputs. A detector aggregate of 0.0 is evidence from configured detectors, not attack failure or model safety.</w:t>
      </w:r>
    </w:p>
    <w:p>
      <w:pPr>
        <w:keepNext/>
        <w:spacing w:before="60" w:after="40"/>
      </w:pPr>
      <w:r>
        <w:rPr>
          <w:rFonts w:ascii="Times New Roman" w:hAnsi="Times New Roman"/>
          <w:b/>
          <w:i w:val="0"/>
          <w:sz w:val="19"/>
        </w:rPr>
        <w:t>B. Interpretation</w:t>
      </w:r>
    </w:p>
    <w:p>
      <w:pPr>
        <w:spacing w:before="0" w:after="60" w:line="240" w:lineRule="auto"/>
        <w:ind w:firstLine="202"/>
      </w:pPr>
      <w:r>
        <w:rPr>
          <w:rFonts w:ascii="Times New Roman" w:hAnsi="Times New Roman"/>
          <w:b w:val="0"/>
          <w:i w:val="0"/>
          <w:sz w:val="18"/>
        </w:rPr>
        <w:t>All five target stages returned an empty text field with finish reason length. The judge produced structured output for some instruction-following dimensions but failed validation for safety-stance dimensions because the returned dimension did not match the request. The pipeline therefore recorded failed behavioral states, null RC scores with reason missing_required_behavioral_state_dimension, undefined SAEA values with reason missing_required_dimension, null DRAA risk, null PRI scalar, and ASR = null with a zero classified denominator. These are correct system outcomes under the framework’s contracts.</w:t>
      </w:r>
    </w:p>
    <w:p>
      <w:pPr>
        <w:spacing w:before="0" w:after="60" w:line="240" w:lineRule="auto"/>
        <w:ind w:firstLine="202"/>
      </w:pPr>
      <w:r>
        <w:rPr>
          <w:rFonts w:ascii="Times New Roman" w:hAnsi="Times New Roman"/>
          <w:b w:val="0"/>
          <w:i w:val="0"/>
          <w:sz w:val="18"/>
        </w:rPr>
        <w:t>The trace confirms that the evaluator does not convert runtime incompleteness into an apparently favorable score. It does not support a claim about qwen3.5:2b security, gemma3:4b judge accuracy, benchmark-level effectiveness, or metric validity.</w:t>
      </w:r>
    </w:p>
    <w:p>
      <w:r>
        <w:br w:type="page"/>
      </w:r>
    </w:p>
    <w:p>
      <w:pPr>
        <w:keepNext/>
        <w:spacing w:before="100" w:after="40"/>
      </w:pPr>
      <w:r>
        <w:rPr>
          <w:rFonts w:ascii="Times New Roman" w:hAnsi="Times New Roman"/>
          <w:b/>
          <w:i w:val="0"/>
          <w:sz w:val="20"/>
        </w:rPr>
        <w:t>V. SCIENTIFIC-INTEGRITY CONTROLS</w:t>
      </w:r>
    </w:p>
    <w:p>
      <w:pPr>
        <w:spacing w:before="0" w:after="60" w:line="240" w:lineRule="auto"/>
        <w:ind w:firstLine="202"/>
      </w:pPr>
      <w:r>
        <w:rPr>
          <w:rFonts w:ascii="Times New Roman" w:hAnsi="Times New Roman"/>
          <w:b w:val="0"/>
          <w:i w:val="0"/>
          <w:sz w:val="18"/>
        </w:rPr>
        <w:t>A research dashboard becomes misleading when it collapses operational status into a score. SecureLLMBench uses a typed availability model so that the user can distinguish not evaluated, not applicable, failed, undefined, unavailable upstream, insufficient data, uncalibrated, and computed values. This model is present in persisted records and frontend components, and it is maintained through metric composition.</w:t>
      </w:r>
    </w:p>
    <w:p>
      <w:pPr>
        <w:jc w:val="center"/>
      </w:pPr>
      <w:r>
        <w:drawing>
          <wp:inline xmlns:a="http://schemas.openxmlformats.org/drawingml/2006/main" xmlns:pic="http://schemas.openxmlformats.org/drawingml/2006/picture">
            <wp:extent cx="6172200" cy="3497580"/>
            <wp:docPr id="3" name="Picture 3"/>
            <wp:cNvGraphicFramePr>
              <a:graphicFrameLocks noChangeAspect="1"/>
            </wp:cNvGraphicFramePr>
            <a:graphic>
              <a:graphicData uri="http://schemas.openxmlformats.org/drawingml/2006/picture">
                <pic:pic>
                  <pic:nvPicPr>
                    <pic:cNvPr id="0" name="status_matrix.png"/>
                    <pic:cNvPicPr/>
                  </pic:nvPicPr>
                  <pic:blipFill>
                    <a:blip r:embed="rId13"/>
                    <a:stretch>
                      <a:fillRect/>
                    </a:stretch>
                  </pic:blipFill>
                  <pic:spPr>
                    <a:xfrm>
                      <a:off x="0" y="0"/>
                      <a:ext cx="6172200" cy="3497580"/>
                    </a:xfrm>
                    <a:prstGeom prst="rect"/>
                  </pic:spPr>
                </pic:pic>
              </a:graphicData>
            </a:graphic>
          </wp:inline>
        </w:drawing>
      </w:r>
    </w:p>
    <w:p>
      <w:pPr>
        <w:spacing w:before="20" w:after="80"/>
        <w:jc w:val="center"/>
      </w:pPr>
      <w:r>
        <w:rPr>
          <w:rFonts w:ascii="Times New Roman" w:hAnsi="Times New Roman"/>
          <w:b w:val="0"/>
          <w:i/>
          <w:sz w:val="16"/>
        </w:rPr>
        <w:t>Fig. 3. Evidence status reported by the current implementation. These states delimit what can be claimed from the available artifacts.</w:t>
      </w:r>
    </w:p>
    <w:p>
      <w:pPr>
        <w:keepNext/>
        <w:spacing w:before="60" w:after="40"/>
      </w:pPr>
      <w:r>
        <w:rPr>
          <w:rFonts w:ascii="Times New Roman" w:hAnsi="Times New Roman"/>
          <w:b/>
          <w:i w:val="0"/>
          <w:sz w:val="19"/>
        </w:rPr>
        <w:t>A. Prohibited Shortcuts</w:t>
      </w:r>
    </w:p>
    <w:p>
      <w:pPr>
        <w:spacing w:before="0" w:after="60" w:line="240" w:lineRule="auto"/>
        <w:ind w:firstLine="202"/>
      </w:pPr>
      <w:r>
        <w:rPr>
          <w:rFonts w:ascii="Times New Roman" w:hAnsi="Times New Roman"/>
          <w:b w:val="0"/>
          <w:i w:val="0"/>
          <w:sz w:val="18"/>
        </w:rPr>
        <w:t>The implementation prohibits scalar BSDA composites, DRAA risk scores without a calibration artifact, scalar PRI values, unlabelled ASR, and risk probabilities inferred from bounded judge scores. It also prevents RC from treating blanket refusal as recovery by requiring both safety and helpfulness dimensions. The primary RC result requires retained context, a compatible calibrated applicability floor, and a measurable attack displacement. SAEA keeps interaction and sequence diagnostics separate from a universal security score.</w:t>
      </w:r>
    </w:p>
    <w:p>
      <w:pPr>
        <w:keepNext/>
        <w:spacing w:before="60" w:after="40"/>
      </w:pPr>
      <w:r>
        <w:rPr>
          <w:rFonts w:ascii="Times New Roman" w:hAnsi="Times New Roman"/>
          <w:b/>
          <w:i w:val="0"/>
          <w:sz w:val="19"/>
        </w:rPr>
        <w:t>B. Claim Matrix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2232"/>
            <w:shd w:fill="17365D"/>
            <w:tcMar>
              <w:top w:w="80" w:type="dxa"/>
              <w:start w:w="100" w:type="dxa"/>
              <w:bottom w:w="80" w:type="dxa"/>
              <w:end w:w="100" w:type="dxa"/>
            </w:tcMar>
            <w:vAlign w:val="center"/>
          </w:tcPr>
          <w:p>
            <w:pPr>
              <w:jc w:val="center"/>
            </w:pPr>
            <w:r>
              <w:rPr>
                <w:rFonts w:ascii="Times New Roman" w:hAnsi="Times New Roman"/>
                <w:b/>
                <w:i w:val="0"/>
                <w:color w:val="FFFFFF"/>
                <w:sz w:val="15"/>
              </w:rPr>
              <w:t>Potential claim</w:t>
            </w:r>
          </w:p>
        </w:tc>
        <w:tc>
          <w:tcPr>
            <w:tcW w:type="dxa" w:w="4147"/>
            <w:shd w:fill="17365D"/>
            <w:tcMar>
              <w:top w:w="80" w:type="dxa"/>
              <w:start w:w="100" w:type="dxa"/>
              <w:bottom w:w="80" w:type="dxa"/>
              <w:end w:w="100" w:type="dxa"/>
            </w:tcMar>
            <w:vAlign w:val="center"/>
          </w:tcPr>
          <w:p>
            <w:pPr>
              <w:jc w:val="center"/>
            </w:pPr>
            <w:r>
              <w:rPr>
                <w:rFonts w:ascii="Times New Roman" w:hAnsi="Times New Roman"/>
                <w:b/>
                <w:i w:val="0"/>
                <w:color w:val="FFFFFF"/>
                <w:sz w:val="15"/>
              </w:rPr>
              <w:t>Evidence now</w:t>
            </w:r>
          </w:p>
        </w:tc>
        <w:tc>
          <w:tcPr>
            <w:tcW w:type="dxa" w:w="1944"/>
            <w:shd w:fill="17365D"/>
            <w:tcMar>
              <w:top w:w="80" w:type="dxa"/>
              <w:start w:w="100" w:type="dxa"/>
              <w:bottom w:w="80" w:type="dxa"/>
              <w:end w:w="100" w:type="dxa"/>
            </w:tcMar>
            <w:vAlign w:val="center"/>
          </w:tcPr>
          <w:p>
            <w:pPr>
              <w:jc w:val="center"/>
            </w:pPr>
            <w:r>
              <w:rPr>
                <w:rFonts w:ascii="Times New Roman" w:hAnsi="Times New Roman"/>
                <w:b/>
                <w:i w:val="0"/>
                <w:color w:val="FFFFFF"/>
                <w:sz w:val="15"/>
              </w:rPr>
              <w:t>Decision</w:t>
            </w:r>
          </w:p>
        </w:tc>
      </w:tr>
      <w:tr>
        <w:tc>
          <w:tcPr>
            <w:tcW w:type="dxa" w:w="2232"/>
            <w:vAlign w:val="center"/>
            <w:tcMar>
              <w:top w:w="80" w:type="dxa"/>
              <w:start w:w="100" w:type="dxa"/>
              <w:bottom w:w="80" w:type="dxa"/>
              <w:end w:w="100" w:type="dxa"/>
            </w:tcMar>
          </w:tcPr>
          <w:p>
            <w:pPr>
              <w:jc w:val="left"/>
            </w:pPr>
            <w:r>
              <w:rPr>
                <w:rFonts w:ascii="Times New Roman" w:hAnsi="Times New Roman"/>
                <w:b w:val="0"/>
                <w:i w:val="0"/>
                <w:sz w:val="15"/>
              </w:rPr>
              <w:t>Software traceability</w:t>
            </w:r>
          </w:p>
        </w:tc>
        <w:tc>
          <w:tcPr>
            <w:tcW w:type="dxa" w:w="4147"/>
            <w:vAlign w:val="center"/>
            <w:tcMar>
              <w:top w:w="80" w:type="dxa"/>
              <w:start w:w="100" w:type="dxa"/>
              <w:bottom w:w="80" w:type="dxa"/>
              <w:end w:w="100" w:type="dxa"/>
            </w:tcMar>
          </w:tcPr>
          <w:p>
            <w:pPr>
              <w:jc w:val="center"/>
            </w:pPr>
            <w:r>
              <w:rPr>
                <w:rFonts w:ascii="Times New Roman" w:hAnsi="Times New Roman"/>
                <w:b w:val="0"/>
                <w:i w:val="0"/>
                <w:sz w:val="15"/>
              </w:rPr>
              <w:t>Versioned records, tests, API, dashboard</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Supported engineering claim</w:t>
            </w:r>
          </w:p>
        </w:tc>
      </w:tr>
      <w:tr>
        <w:tc>
          <w:tcPr>
            <w:tcW w:type="dxa" w:w="2232"/>
            <w:vAlign w:val="center"/>
            <w:tcMar>
              <w:top w:w="80" w:type="dxa"/>
              <w:start w:w="100" w:type="dxa"/>
              <w:bottom w:w="80" w:type="dxa"/>
              <w:end w:w="100" w:type="dxa"/>
            </w:tcMar>
            <w:shd w:fill="F2F2F2"/>
          </w:tcPr>
          <w:p>
            <w:pPr>
              <w:jc w:val="left"/>
            </w:pPr>
            <w:r>
              <w:rPr>
                <w:rFonts w:ascii="Times New Roman" w:hAnsi="Times New Roman"/>
                <w:b w:val="0"/>
                <w:i w:val="0"/>
                <w:sz w:val="15"/>
              </w:rPr>
              <w:t>Local execution works</w:t>
            </w:r>
          </w:p>
        </w:tc>
        <w:tc>
          <w:tcPr>
            <w:tcW w:type="dxa" w:w="4147"/>
            <w:vAlign w:val="center"/>
            <w:tcMar>
              <w:top w:w="80" w:type="dxa"/>
              <w:start w:w="100" w:type="dxa"/>
              <w:bottom w:w="80" w:type="dxa"/>
              <w:end w:w="100" w:type="dxa"/>
            </w:tcMar>
            <w:shd w:fill="F2F2F2"/>
          </w:tcPr>
          <w:p>
            <w:pPr>
              <w:jc w:val="center"/>
            </w:pPr>
            <w:r>
              <w:rPr>
                <w:rFonts w:ascii="Times New Roman" w:hAnsi="Times New Roman"/>
                <w:b w:val="0"/>
                <w:i w:val="0"/>
                <w:sz w:val="15"/>
              </w:rPr>
              <w:t>Ollama trace and smoke checks</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Supported engineering claim</w:t>
            </w:r>
          </w:p>
        </w:tc>
      </w:tr>
      <w:tr>
        <w:tc>
          <w:tcPr>
            <w:tcW w:type="dxa" w:w="2232"/>
            <w:vAlign w:val="center"/>
            <w:tcMar>
              <w:top w:w="80" w:type="dxa"/>
              <w:start w:w="100" w:type="dxa"/>
              <w:bottom w:w="80" w:type="dxa"/>
              <w:end w:w="100" w:type="dxa"/>
            </w:tcMar>
          </w:tcPr>
          <w:p>
            <w:pPr>
              <w:jc w:val="left"/>
            </w:pPr>
            <w:r>
              <w:rPr>
                <w:rFonts w:ascii="Times New Roman" w:hAnsi="Times New Roman"/>
                <w:b w:val="0"/>
                <w:i w:val="0"/>
                <w:sz w:val="15"/>
              </w:rPr>
              <w:t>Model is secure</w:t>
            </w:r>
          </w:p>
        </w:tc>
        <w:tc>
          <w:tcPr>
            <w:tcW w:type="dxa" w:w="4147"/>
            <w:vAlign w:val="center"/>
            <w:tcMar>
              <w:top w:w="80" w:type="dxa"/>
              <w:start w:w="100" w:type="dxa"/>
              <w:bottom w:w="80" w:type="dxa"/>
              <w:end w:w="100" w:type="dxa"/>
            </w:tcMar>
          </w:tcPr>
          <w:p>
            <w:pPr>
              <w:jc w:val="center"/>
            </w:pPr>
            <w:r>
              <w:rPr>
                <w:rFonts w:ascii="Times New Roman" w:hAnsi="Times New Roman"/>
                <w:b w:val="0"/>
                <w:i w:val="0"/>
                <w:sz w:val="15"/>
              </w:rPr>
              <w:t>One incomplete trace; no classified outcomes</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Not supported</w:t>
            </w:r>
          </w:p>
        </w:tc>
      </w:tr>
      <w:tr>
        <w:tc>
          <w:tcPr>
            <w:tcW w:type="dxa" w:w="2232"/>
            <w:vAlign w:val="center"/>
            <w:tcMar>
              <w:top w:w="80" w:type="dxa"/>
              <w:start w:w="100" w:type="dxa"/>
              <w:bottom w:w="80" w:type="dxa"/>
              <w:end w:w="100" w:type="dxa"/>
            </w:tcMar>
            <w:shd w:fill="F2F2F2"/>
          </w:tcPr>
          <w:p>
            <w:pPr>
              <w:jc w:val="left"/>
            </w:pPr>
            <w:r>
              <w:rPr>
                <w:rFonts w:ascii="Times New Roman" w:hAnsi="Times New Roman"/>
                <w:b w:val="0"/>
                <w:i w:val="0"/>
                <w:sz w:val="15"/>
              </w:rPr>
              <w:t>Metric is valid</w:t>
            </w:r>
          </w:p>
        </w:tc>
        <w:tc>
          <w:tcPr>
            <w:tcW w:type="dxa" w:w="4147"/>
            <w:vAlign w:val="center"/>
            <w:tcMar>
              <w:top w:w="80" w:type="dxa"/>
              <w:start w:w="100" w:type="dxa"/>
              <w:bottom w:w="80" w:type="dxa"/>
              <w:end w:w="100" w:type="dxa"/>
            </w:tcMar>
            <w:shd w:fill="F2F2F2"/>
          </w:tcPr>
          <w:p>
            <w:pPr>
              <w:jc w:val="center"/>
            </w:pPr>
            <w:r>
              <w:rPr>
                <w:rFonts w:ascii="Times New Roman" w:hAnsi="Times New Roman"/>
                <w:b w:val="0"/>
                <w:i w:val="0"/>
                <w:sz w:val="15"/>
              </w:rPr>
              <w:t>Formula/runtime tests only</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Not supported</w:t>
            </w:r>
          </w:p>
        </w:tc>
      </w:tr>
      <w:tr>
        <w:tc>
          <w:tcPr>
            <w:tcW w:type="dxa" w:w="2232"/>
            <w:vAlign w:val="center"/>
            <w:tcMar>
              <w:top w:w="80" w:type="dxa"/>
              <w:start w:w="100" w:type="dxa"/>
              <w:bottom w:w="80" w:type="dxa"/>
              <w:end w:w="100" w:type="dxa"/>
            </w:tcMar>
          </w:tcPr>
          <w:p>
            <w:pPr>
              <w:jc w:val="left"/>
            </w:pPr>
            <w:r>
              <w:rPr>
                <w:rFonts w:ascii="Times New Roman" w:hAnsi="Times New Roman"/>
                <w:b w:val="0"/>
                <w:i w:val="0"/>
                <w:sz w:val="15"/>
              </w:rPr>
              <w:t>Model ranking</w:t>
            </w:r>
          </w:p>
        </w:tc>
        <w:tc>
          <w:tcPr>
            <w:tcW w:type="dxa" w:w="4147"/>
            <w:vAlign w:val="center"/>
            <w:tcMar>
              <w:top w:w="80" w:type="dxa"/>
              <w:start w:w="100" w:type="dxa"/>
              <w:bottom w:w="80" w:type="dxa"/>
              <w:end w:w="100" w:type="dxa"/>
            </w:tcMar>
          </w:tcPr>
          <w:p>
            <w:pPr>
              <w:jc w:val="center"/>
            </w:pPr>
            <w:r>
              <w:rPr>
                <w:rFonts w:ascii="Times New Roman" w:hAnsi="Times New Roman"/>
                <w:b w:val="0"/>
                <w:i w:val="0"/>
                <w:sz w:val="15"/>
              </w:rPr>
              <w:t>No comparable validated benchmark population</w:t>
            </w:r>
          </w:p>
        </w:tc>
        <w:tc>
          <w:tcPr>
            <w:tcW w:type="dxa" w:w="1944"/>
            <w:vAlign w:val="center"/>
            <w:tcMar>
              <w:top w:w="80" w:type="dxa"/>
              <w:start w:w="100" w:type="dxa"/>
              <w:bottom w:w="80" w:type="dxa"/>
              <w:end w:w="100" w:type="dxa"/>
            </w:tcMar>
          </w:tcPr>
          <w:p>
            <w:pPr>
              <w:jc w:val="center"/>
            </w:pPr>
            <w:r>
              <w:rPr>
                <w:rFonts w:ascii="Times New Roman" w:hAnsi="Times New Roman"/>
                <w:b w:val="0"/>
                <w:i w:val="0"/>
                <w:sz w:val="15"/>
              </w:rPr>
              <w:t>Not supported</w:t>
            </w:r>
          </w:p>
        </w:tc>
      </w:tr>
      <w:tr>
        <w:tc>
          <w:tcPr>
            <w:tcW w:type="dxa" w:w="2232"/>
            <w:vAlign w:val="center"/>
            <w:tcMar>
              <w:top w:w="80" w:type="dxa"/>
              <w:start w:w="100" w:type="dxa"/>
              <w:bottom w:w="80" w:type="dxa"/>
              <w:end w:w="100" w:type="dxa"/>
            </w:tcMar>
            <w:shd w:fill="F2F2F2"/>
          </w:tcPr>
          <w:p>
            <w:pPr>
              <w:jc w:val="left"/>
            </w:pPr>
            <w:r>
              <w:rPr>
                <w:rFonts w:ascii="Times New Roman" w:hAnsi="Times New Roman"/>
                <w:b w:val="0"/>
                <w:i w:val="0"/>
                <w:sz w:val="15"/>
              </w:rPr>
              <w:t>Risk probability</w:t>
            </w:r>
          </w:p>
        </w:tc>
        <w:tc>
          <w:tcPr>
            <w:tcW w:type="dxa" w:w="4147"/>
            <w:vAlign w:val="center"/>
            <w:tcMar>
              <w:top w:w="80" w:type="dxa"/>
              <w:start w:w="100" w:type="dxa"/>
              <w:bottom w:w="80" w:type="dxa"/>
              <w:end w:w="100" w:type="dxa"/>
            </w:tcMar>
            <w:shd w:fill="F2F2F2"/>
          </w:tcPr>
          <w:p>
            <w:pPr>
              <w:jc w:val="center"/>
            </w:pPr>
            <w:r>
              <w:rPr>
                <w:rFonts w:ascii="Times New Roman" w:hAnsi="Times New Roman"/>
                <w:b w:val="0"/>
                <w:i w:val="0"/>
                <w:sz w:val="15"/>
              </w:rPr>
              <w:t>No target labels or calibrated model</w:t>
            </w:r>
          </w:p>
        </w:tc>
        <w:tc>
          <w:tcPr>
            <w:tcW w:type="dxa" w:w="1944"/>
            <w:vAlign w:val="center"/>
            <w:tcMar>
              <w:top w:w="80" w:type="dxa"/>
              <w:start w:w="100" w:type="dxa"/>
              <w:bottom w:w="80" w:type="dxa"/>
              <w:end w:w="100" w:type="dxa"/>
            </w:tcMar>
            <w:shd w:fill="F2F2F2"/>
          </w:tcPr>
          <w:p>
            <w:pPr>
              <w:jc w:val="center"/>
            </w:pPr>
            <w:r>
              <w:rPr>
                <w:rFonts w:ascii="Times New Roman" w:hAnsi="Times New Roman"/>
                <w:b w:val="0"/>
                <w:i w:val="0"/>
                <w:sz w:val="15"/>
              </w:rPr>
              <w:t>Not supported</w:t>
            </w:r>
          </w:p>
        </w:tc>
      </w:tr>
    </w:tbl>
    <w:p>
      <w:pPr>
        <w:spacing w:after="0"/>
      </w:pPr>
    </w:p>
    <w:p>
      <w:pPr>
        <w:spacing w:before="20" w:after="80"/>
        <w:jc w:val="center"/>
      </w:pPr>
      <w:r>
        <w:rPr>
          <w:rFonts w:ascii="Times New Roman" w:hAnsi="Times New Roman"/>
          <w:b w:val="0"/>
          <w:i/>
          <w:sz w:val="16"/>
        </w:rPr>
        <w:t>TABLE IV. What the present artifacts do and do not substantiate.</w:t>
      </w:r>
    </w:p>
    <w:p>
      <w:pPr>
        <w:keepNext/>
        <w:spacing w:before="60" w:after="40"/>
      </w:pPr>
      <w:r>
        <w:rPr>
          <w:rFonts w:ascii="Times New Roman" w:hAnsi="Times New Roman"/>
          <w:b/>
          <w:i w:val="0"/>
          <w:sz w:val="19"/>
        </w:rPr>
        <w:t>C. Threats to Validity</w:t>
      </w:r>
    </w:p>
    <w:p>
      <w:pPr>
        <w:spacing w:before="0" w:after="60" w:line="240" w:lineRule="auto"/>
        <w:ind w:firstLine="202"/>
      </w:pPr>
      <w:r>
        <w:rPr>
          <w:rFonts w:ascii="Times New Roman" w:hAnsi="Times New Roman"/>
          <w:b w:val="0"/>
          <w:i w:val="0"/>
          <w:sz w:val="18"/>
        </w:rPr>
        <w:t>The current dataset is a three-record repository engineering example, not a validated corpus. The local trace contains one case. Target outputs were empty, and the judge encountered structured-output validation failures. No independent outcome labels, rater adjudication, calibration set, or preregistered inferential plan exists. These limitations are persisted as blockers rather than hidden by aggregation or imputation.</w:t>
      </w:r>
    </w:p>
    <w:p>
      <w:r>
        <w:br w:type="page"/>
      </w:r>
    </w:p>
    <w:p>
      <w:pPr>
        <w:keepNext/>
        <w:spacing w:before="100" w:after="40"/>
      </w:pPr>
      <w:r>
        <w:rPr>
          <w:rFonts w:ascii="Times New Roman" w:hAnsi="Times New Roman"/>
          <w:b/>
          <w:i w:val="0"/>
          <w:sz w:val="20"/>
        </w:rPr>
        <w:t>VI. REPRODUCIBILITY AND NEXT STUDY</w:t>
      </w:r>
    </w:p>
    <w:p>
      <w:pPr>
        <w:spacing w:before="0" w:after="60" w:line="240" w:lineRule="auto"/>
        <w:ind w:firstLine="202"/>
      </w:pPr>
      <w:r>
        <w:rPr>
          <w:rFonts w:ascii="Times New Roman" w:hAnsi="Times New Roman"/>
          <w:b w:val="0"/>
          <w:i w:val="0"/>
          <w:sz w:val="18"/>
        </w:rPr>
        <w:t>The repository contains a fixture dry-run, a local-Ollama runner, trace analysis scripts, unit tests, API smoke checks, and frontend typecheck, lint, test, and production-build commands. The verified software suite contains 129 passing Python tests and 19 passing frontend tests, together with successful typecheck, lint, build, API smoke, and local server checks. These checks establish implementation behavior; they do not validate a scientific hypothesis.</w:t>
      </w:r>
    </w:p>
    <w:p>
      <w:pPr>
        <w:keepNext/>
        <w:spacing w:before="60" w:after="40"/>
      </w:pPr>
      <w:r>
        <w:rPr>
          <w:rFonts w:ascii="Times New Roman" w:hAnsi="Times New Roman"/>
          <w:b/>
          <w:i w:val="0"/>
          <w:sz w:val="19"/>
        </w:rPr>
        <w:t>A. Reproduction Procedure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23"/>
        <w:gridCol w:w="3523"/>
        <w:gridCol w:w="3523"/>
      </w:tblGrid>
      <w:tr>
        <w:trPr>
          <w:tblHeader w:val="true"/>
        </w:trPr>
        <w:tc>
          <w:tcPr>
            <w:tcW w:type="dxa" w:w="720"/>
            <w:shd w:fill="17365D"/>
            <w:tcMar>
              <w:top w:w="80" w:type="dxa"/>
              <w:start w:w="100" w:type="dxa"/>
              <w:bottom w:w="80" w:type="dxa"/>
              <w:end w:w="100" w:type="dxa"/>
            </w:tcMar>
            <w:vAlign w:val="center"/>
          </w:tcPr>
          <w:p>
            <w:pPr>
              <w:jc w:val="center"/>
            </w:pPr>
            <w:r>
              <w:rPr>
                <w:rFonts w:ascii="Times New Roman" w:hAnsi="Times New Roman"/>
                <w:b/>
                <w:i w:val="0"/>
                <w:color w:val="FFFFFF"/>
                <w:sz w:val="15"/>
              </w:rPr>
              <w:t>Step</w:t>
            </w:r>
          </w:p>
        </w:tc>
        <w:tc>
          <w:tcPr>
            <w:tcW w:type="dxa" w:w="4608"/>
            <w:shd w:fill="17365D"/>
            <w:tcMar>
              <w:top w:w="80" w:type="dxa"/>
              <w:start w:w="100" w:type="dxa"/>
              <w:bottom w:w="80" w:type="dxa"/>
              <w:end w:w="100" w:type="dxa"/>
            </w:tcMar>
            <w:vAlign w:val="center"/>
          </w:tcPr>
          <w:p>
            <w:pPr>
              <w:jc w:val="center"/>
            </w:pPr>
            <w:r>
              <w:rPr>
                <w:rFonts w:ascii="Times New Roman" w:hAnsi="Times New Roman"/>
                <w:b/>
                <w:i w:val="0"/>
                <w:color w:val="FFFFFF"/>
                <w:sz w:val="15"/>
              </w:rPr>
              <w:t>Command / artifact</w:t>
            </w:r>
          </w:p>
        </w:tc>
        <w:tc>
          <w:tcPr>
            <w:tcW w:type="dxa" w:w="2995"/>
            <w:shd w:fill="17365D"/>
            <w:tcMar>
              <w:top w:w="80" w:type="dxa"/>
              <w:start w:w="100" w:type="dxa"/>
              <w:bottom w:w="80" w:type="dxa"/>
              <w:end w:w="100" w:type="dxa"/>
            </w:tcMar>
            <w:vAlign w:val="center"/>
          </w:tcPr>
          <w:p>
            <w:pPr>
              <w:jc w:val="center"/>
            </w:pPr>
            <w:r>
              <w:rPr>
                <w:rFonts w:ascii="Times New Roman" w:hAnsi="Times New Roman"/>
                <w:b/>
                <w:i w:val="0"/>
                <w:color w:val="FFFFFF"/>
                <w:sz w:val="15"/>
              </w:rPr>
              <w:t>Expected evidence</w:t>
            </w:r>
          </w:p>
        </w:tc>
      </w:tr>
      <w:tr>
        <w:tc>
          <w:tcPr>
            <w:tcW w:type="dxa" w:w="720"/>
            <w:vAlign w:val="center"/>
            <w:tcMar>
              <w:top w:w="80" w:type="dxa"/>
              <w:start w:w="100" w:type="dxa"/>
              <w:bottom w:w="80" w:type="dxa"/>
              <w:end w:w="100" w:type="dxa"/>
            </w:tcMar>
          </w:tcPr>
          <w:p>
            <w:pPr>
              <w:jc w:val="left"/>
            </w:pPr>
            <w:r>
              <w:rPr>
                <w:rFonts w:ascii="Times New Roman" w:hAnsi="Times New Roman"/>
                <w:b w:val="0"/>
                <w:i w:val="0"/>
                <w:sz w:val="15"/>
              </w:rPr>
              <w:t>1</w:t>
            </w:r>
          </w:p>
        </w:tc>
        <w:tc>
          <w:tcPr>
            <w:tcW w:type="dxa" w:w="4608"/>
            <w:vAlign w:val="center"/>
            <w:tcMar>
              <w:top w:w="80" w:type="dxa"/>
              <w:start w:w="100" w:type="dxa"/>
              <w:bottom w:w="80" w:type="dxa"/>
              <w:end w:w="100" w:type="dxa"/>
            </w:tcMar>
          </w:tcPr>
          <w:p>
            <w:pPr>
              <w:jc w:val="center"/>
            </w:pPr>
            <w:r>
              <w:rPr>
                <w:rFonts w:ascii="Times New Roman" w:hAnsi="Times New Roman"/>
                <w:b w:val="0"/>
                <w:i w:val="0"/>
                <w:sz w:val="15"/>
              </w:rPr>
              <w:t>python -m pytest</w:t>
            </w:r>
          </w:p>
        </w:tc>
        <w:tc>
          <w:tcPr>
            <w:tcW w:type="dxa" w:w="2995"/>
            <w:vAlign w:val="center"/>
            <w:tcMar>
              <w:top w:w="80" w:type="dxa"/>
              <w:start w:w="100" w:type="dxa"/>
              <w:bottom w:w="80" w:type="dxa"/>
              <w:end w:w="100" w:type="dxa"/>
            </w:tcMar>
          </w:tcPr>
          <w:p>
            <w:pPr>
              <w:jc w:val="center"/>
            </w:pPr>
            <w:r>
              <w:rPr>
                <w:rFonts w:ascii="Times New Roman" w:hAnsi="Times New Roman"/>
                <w:b w:val="0"/>
                <w:i w:val="0"/>
                <w:sz w:val="15"/>
              </w:rPr>
              <w:t>Implementation tests</w:t>
            </w:r>
          </w:p>
        </w:tc>
      </w:tr>
      <w:tr>
        <w:tc>
          <w:tcPr>
            <w:tcW w:type="dxa" w:w="720"/>
            <w:vAlign w:val="center"/>
            <w:tcMar>
              <w:top w:w="80" w:type="dxa"/>
              <w:start w:w="100" w:type="dxa"/>
              <w:bottom w:w="80" w:type="dxa"/>
              <w:end w:w="100" w:type="dxa"/>
            </w:tcMar>
            <w:shd w:fill="F2F2F2"/>
          </w:tcPr>
          <w:p>
            <w:pPr>
              <w:jc w:val="left"/>
            </w:pPr>
            <w:r>
              <w:rPr>
                <w:rFonts w:ascii="Times New Roman" w:hAnsi="Times New Roman"/>
                <w:b w:val="0"/>
                <w:i w:val="0"/>
                <w:sz w:val="15"/>
              </w:rPr>
              <w:t>2</w:t>
            </w:r>
          </w:p>
        </w:tc>
        <w:tc>
          <w:tcPr>
            <w:tcW w:type="dxa" w:w="4608"/>
            <w:vAlign w:val="center"/>
            <w:tcMar>
              <w:top w:w="80" w:type="dxa"/>
              <w:start w:w="100" w:type="dxa"/>
              <w:bottom w:w="80" w:type="dxa"/>
              <w:end w:w="100" w:type="dxa"/>
            </w:tcMar>
            <w:shd w:fill="F2F2F2"/>
          </w:tcPr>
          <w:p>
            <w:pPr>
              <w:jc w:val="center"/>
            </w:pPr>
            <w:r>
              <w:rPr>
                <w:rFonts w:ascii="Times New Roman" w:hAnsi="Times New Roman"/>
                <w:b w:val="0"/>
                <w:i w:val="0"/>
                <w:sz w:val="15"/>
              </w:rPr>
              <w:t>scripts/api_smoke.py</w:t>
            </w:r>
          </w:p>
        </w:tc>
        <w:tc>
          <w:tcPr>
            <w:tcW w:type="dxa" w:w="2995"/>
            <w:vAlign w:val="center"/>
            <w:tcMar>
              <w:top w:w="80" w:type="dxa"/>
              <w:start w:w="100" w:type="dxa"/>
              <w:bottom w:w="80" w:type="dxa"/>
              <w:end w:w="100" w:type="dxa"/>
            </w:tcMar>
            <w:shd w:fill="F2F2F2"/>
          </w:tcPr>
          <w:p>
            <w:pPr>
              <w:jc w:val="center"/>
            </w:pPr>
            <w:r>
              <w:rPr>
                <w:rFonts w:ascii="Times New Roman" w:hAnsi="Times New Roman"/>
                <w:b w:val="0"/>
                <w:i w:val="0"/>
                <w:sz w:val="15"/>
              </w:rPr>
              <w:t>Health and API contracts</w:t>
            </w:r>
          </w:p>
        </w:tc>
      </w:tr>
      <w:tr>
        <w:tc>
          <w:tcPr>
            <w:tcW w:type="dxa" w:w="720"/>
            <w:vAlign w:val="center"/>
            <w:tcMar>
              <w:top w:w="80" w:type="dxa"/>
              <w:start w:w="100" w:type="dxa"/>
              <w:bottom w:w="80" w:type="dxa"/>
              <w:end w:w="100" w:type="dxa"/>
            </w:tcMar>
          </w:tcPr>
          <w:p>
            <w:pPr>
              <w:jc w:val="left"/>
            </w:pPr>
            <w:r>
              <w:rPr>
                <w:rFonts w:ascii="Times New Roman" w:hAnsi="Times New Roman"/>
                <w:b w:val="0"/>
                <w:i w:val="0"/>
                <w:sz w:val="15"/>
              </w:rPr>
              <w:t>3</w:t>
            </w:r>
          </w:p>
        </w:tc>
        <w:tc>
          <w:tcPr>
            <w:tcW w:type="dxa" w:w="4608"/>
            <w:vAlign w:val="center"/>
            <w:tcMar>
              <w:top w:w="80" w:type="dxa"/>
              <w:start w:w="100" w:type="dxa"/>
              <w:bottom w:w="80" w:type="dxa"/>
              <w:end w:w="100" w:type="dxa"/>
            </w:tcMar>
          </w:tcPr>
          <w:p>
            <w:pPr>
              <w:jc w:val="center"/>
            </w:pPr>
            <w:r>
              <w:rPr>
                <w:rFonts w:ascii="Times New Roman" w:hAnsi="Times New Roman"/>
                <w:b w:val="0"/>
                <w:i w:val="0"/>
                <w:sz w:val="15"/>
              </w:rPr>
              <w:t>run_experiment.py --fixture-dry-run</w:t>
            </w:r>
          </w:p>
        </w:tc>
        <w:tc>
          <w:tcPr>
            <w:tcW w:type="dxa" w:w="2995"/>
            <w:vAlign w:val="center"/>
            <w:tcMar>
              <w:top w:w="80" w:type="dxa"/>
              <w:start w:w="100" w:type="dxa"/>
              <w:bottom w:w="80" w:type="dxa"/>
              <w:end w:w="100" w:type="dxa"/>
            </w:tcMar>
          </w:tcPr>
          <w:p>
            <w:pPr>
              <w:jc w:val="center"/>
            </w:pPr>
            <w:r>
              <w:rPr>
                <w:rFonts w:ascii="Times New Roman" w:hAnsi="Times New Roman"/>
                <w:b w:val="0"/>
                <w:i w:val="0"/>
                <w:sz w:val="15"/>
              </w:rPr>
              <w:t>Engineering-only trace JSON</w:t>
            </w:r>
          </w:p>
        </w:tc>
      </w:tr>
      <w:tr>
        <w:tc>
          <w:tcPr>
            <w:tcW w:type="dxa" w:w="720"/>
            <w:vAlign w:val="center"/>
            <w:tcMar>
              <w:top w:w="80" w:type="dxa"/>
              <w:start w:w="100" w:type="dxa"/>
              <w:bottom w:w="80" w:type="dxa"/>
              <w:end w:w="100" w:type="dxa"/>
            </w:tcMar>
            <w:shd w:fill="F2F2F2"/>
          </w:tcPr>
          <w:p>
            <w:pPr>
              <w:jc w:val="left"/>
            </w:pPr>
            <w:r>
              <w:rPr>
                <w:rFonts w:ascii="Times New Roman" w:hAnsi="Times New Roman"/>
                <w:b w:val="0"/>
                <w:i w:val="0"/>
                <w:sz w:val="15"/>
              </w:rPr>
              <w:t>4</w:t>
            </w:r>
          </w:p>
        </w:tc>
        <w:tc>
          <w:tcPr>
            <w:tcW w:type="dxa" w:w="4608"/>
            <w:vAlign w:val="center"/>
            <w:tcMar>
              <w:top w:w="80" w:type="dxa"/>
              <w:start w:w="100" w:type="dxa"/>
              <w:bottom w:w="80" w:type="dxa"/>
              <w:end w:w="100" w:type="dxa"/>
            </w:tcMar>
            <w:shd w:fill="F2F2F2"/>
          </w:tcPr>
          <w:p>
            <w:pPr>
              <w:jc w:val="center"/>
            </w:pPr>
            <w:r>
              <w:rPr>
                <w:rFonts w:ascii="Times New Roman" w:hAnsi="Times New Roman"/>
                <w:b w:val="0"/>
                <w:i w:val="0"/>
                <w:sz w:val="15"/>
              </w:rPr>
              <w:t>run_experiment.py --target-model ... --judge-model ...</w:t>
            </w:r>
          </w:p>
        </w:tc>
        <w:tc>
          <w:tcPr>
            <w:tcW w:type="dxa" w:w="2995"/>
            <w:vAlign w:val="center"/>
            <w:tcMar>
              <w:top w:w="80" w:type="dxa"/>
              <w:start w:w="100" w:type="dxa"/>
              <w:bottom w:w="80" w:type="dxa"/>
              <w:end w:w="100" w:type="dxa"/>
            </w:tcMar>
            <w:shd w:fill="F2F2F2"/>
          </w:tcPr>
          <w:p>
            <w:pPr>
              <w:jc w:val="center"/>
            </w:pPr>
            <w:r>
              <w:rPr>
                <w:rFonts w:ascii="Times New Roman" w:hAnsi="Times New Roman"/>
                <w:b w:val="0"/>
                <w:i w:val="0"/>
                <w:sz w:val="15"/>
              </w:rPr>
              <w:t>Local trace for installed models</w:t>
            </w:r>
          </w:p>
        </w:tc>
      </w:tr>
      <w:tr>
        <w:tc>
          <w:tcPr>
            <w:tcW w:type="dxa" w:w="720"/>
            <w:vAlign w:val="center"/>
            <w:tcMar>
              <w:top w:w="80" w:type="dxa"/>
              <w:start w:w="100" w:type="dxa"/>
              <w:bottom w:w="80" w:type="dxa"/>
              <w:end w:w="100" w:type="dxa"/>
            </w:tcMar>
          </w:tcPr>
          <w:p>
            <w:pPr>
              <w:jc w:val="left"/>
            </w:pPr>
            <w:r>
              <w:rPr>
                <w:rFonts w:ascii="Times New Roman" w:hAnsi="Times New Roman"/>
                <w:b w:val="0"/>
                <w:i w:val="0"/>
                <w:sz w:val="15"/>
              </w:rPr>
              <w:t>5</w:t>
            </w:r>
          </w:p>
        </w:tc>
        <w:tc>
          <w:tcPr>
            <w:tcW w:type="dxa" w:w="4608"/>
            <w:vAlign w:val="center"/>
            <w:tcMar>
              <w:top w:w="80" w:type="dxa"/>
              <w:start w:w="100" w:type="dxa"/>
              <w:bottom w:w="80" w:type="dxa"/>
              <w:end w:w="100" w:type="dxa"/>
            </w:tcMar>
          </w:tcPr>
          <w:p>
            <w:pPr>
              <w:jc w:val="center"/>
            </w:pPr>
            <w:r>
              <w:rPr>
                <w:rFonts w:ascii="Times New Roman" w:hAnsi="Times New Roman"/>
                <w:b w:val="0"/>
                <w:i w:val="0"/>
                <w:sz w:val="15"/>
              </w:rPr>
              <w:t>analyze_results.py --input trace.json</w:t>
            </w:r>
          </w:p>
        </w:tc>
        <w:tc>
          <w:tcPr>
            <w:tcW w:type="dxa" w:w="2995"/>
            <w:vAlign w:val="center"/>
            <w:tcMar>
              <w:top w:w="80" w:type="dxa"/>
              <w:start w:w="100" w:type="dxa"/>
              <w:bottom w:w="80" w:type="dxa"/>
              <w:end w:w="100" w:type="dxa"/>
            </w:tcMar>
          </w:tcPr>
          <w:p>
            <w:pPr>
              <w:jc w:val="center"/>
            </w:pPr>
            <w:r>
              <w:rPr>
                <w:rFonts w:ascii="Times New Roman" w:hAnsi="Times New Roman"/>
                <w:b w:val="0"/>
                <w:i w:val="0"/>
                <w:sz w:val="15"/>
              </w:rPr>
              <w:t>Descriptive analysis plus blockers</w:t>
            </w:r>
          </w:p>
        </w:tc>
      </w:tr>
      <w:tr>
        <w:tc>
          <w:tcPr>
            <w:tcW w:type="dxa" w:w="720"/>
            <w:vAlign w:val="center"/>
            <w:tcMar>
              <w:top w:w="80" w:type="dxa"/>
              <w:start w:w="100" w:type="dxa"/>
              <w:bottom w:w="80" w:type="dxa"/>
              <w:end w:w="100" w:type="dxa"/>
            </w:tcMar>
            <w:shd w:fill="F2F2F2"/>
          </w:tcPr>
          <w:p>
            <w:pPr>
              <w:jc w:val="left"/>
            </w:pPr>
            <w:r>
              <w:rPr>
                <w:rFonts w:ascii="Times New Roman" w:hAnsi="Times New Roman"/>
                <w:b w:val="0"/>
                <w:i w:val="0"/>
                <w:sz w:val="15"/>
              </w:rPr>
              <w:t>6</w:t>
            </w:r>
          </w:p>
        </w:tc>
        <w:tc>
          <w:tcPr>
            <w:tcW w:type="dxa" w:w="4608"/>
            <w:vAlign w:val="center"/>
            <w:tcMar>
              <w:top w:w="80" w:type="dxa"/>
              <w:start w:w="100" w:type="dxa"/>
              <w:bottom w:w="80" w:type="dxa"/>
              <w:end w:w="100" w:type="dxa"/>
            </w:tcMar>
            <w:shd w:fill="F2F2F2"/>
          </w:tcPr>
          <w:p>
            <w:pPr>
              <w:jc w:val="center"/>
            </w:pPr>
            <w:r>
              <w:rPr>
                <w:rFonts w:ascii="Times New Roman" w:hAnsi="Times New Roman"/>
                <w:b w:val="0"/>
                <w:i w:val="0"/>
                <w:sz w:val="15"/>
              </w:rPr>
              <w:t>frontend typecheck, lint, test, build</w:t>
            </w:r>
          </w:p>
        </w:tc>
        <w:tc>
          <w:tcPr>
            <w:tcW w:type="dxa" w:w="2995"/>
            <w:vAlign w:val="center"/>
            <w:tcMar>
              <w:top w:w="80" w:type="dxa"/>
              <w:start w:w="100" w:type="dxa"/>
              <w:bottom w:w="80" w:type="dxa"/>
              <w:end w:w="100" w:type="dxa"/>
            </w:tcMar>
            <w:shd w:fill="F2F2F2"/>
          </w:tcPr>
          <w:p>
            <w:pPr>
              <w:jc w:val="center"/>
            </w:pPr>
            <w:r>
              <w:rPr>
                <w:rFonts w:ascii="Times New Roman" w:hAnsi="Times New Roman"/>
                <w:b w:val="0"/>
                <w:i w:val="0"/>
                <w:sz w:val="15"/>
              </w:rPr>
              <w:t>Dashboard integrity</w:t>
            </w:r>
          </w:p>
        </w:tc>
      </w:tr>
    </w:tbl>
    <w:p>
      <w:pPr>
        <w:spacing w:after="0"/>
      </w:pPr>
    </w:p>
    <w:p>
      <w:pPr>
        <w:spacing w:before="20" w:after="80"/>
        <w:jc w:val="center"/>
      </w:pPr>
      <w:r>
        <w:rPr>
          <w:rFonts w:ascii="Times New Roman" w:hAnsi="Times New Roman"/>
          <w:b w:val="0"/>
          <w:i/>
          <w:sz w:val="16"/>
        </w:rPr>
        <w:t>TABLE V. Reproduction sequence. Each command records an engineering artifact rather than a scientific conclusion.</w:t>
      </w:r>
    </w:p>
    <w:p>
      <w:pPr>
        <w:keepNext/>
        <w:spacing w:before="60" w:after="40"/>
      </w:pPr>
      <w:r>
        <w:rPr>
          <w:rFonts w:ascii="Times New Roman" w:hAnsi="Times New Roman"/>
          <w:b/>
          <w:i w:val="0"/>
          <w:sz w:val="19"/>
        </w:rPr>
        <w:t>B. Required Work Before a Research Claim</w:t>
      </w:r>
    </w:p>
    <w:p>
      <w:pPr>
        <w:spacing w:before="0" w:after="60" w:line="240" w:lineRule="auto"/>
        <w:ind w:firstLine="202"/>
      </w:pPr>
      <w:r>
        <w:rPr>
          <w:rFonts w:ascii="Times New Roman" w:hAnsi="Times New Roman"/>
          <w:b w:val="0"/>
          <w:i w:val="0"/>
          <w:sz w:val="18"/>
        </w:rPr>
        <w:t>A valid benchmark study needs a versioned threat model, a representative dataset with provenance, locked target and judge models, an approved outcome taxonomy and ASR denominator policy, independent labels or blinded human raters, a compatible RC calibration artifact, matched isolated and sequential trajectories, and a preregistered statistical plan. Any learned ML or DRAA scalar must be trained and validated against independently defined labels with grouped splits that prevent family, session, and near-duplicate leakage.</w:t>
      </w:r>
    </w:p>
    <w:p>
      <w:pPr>
        <w:keepNext/>
        <w:spacing w:before="100" w:after="40"/>
      </w:pPr>
      <w:r>
        <w:rPr>
          <w:rFonts w:ascii="Times New Roman" w:hAnsi="Times New Roman"/>
          <w:b/>
          <w:i w:val="0"/>
          <w:sz w:val="20"/>
        </w:rPr>
        <w:t>VII. CONCLUSION</w:t>
      </w:r>
    </w:p>
    <w:p>
      <w:pPr>
        <w:spacing w:before="0" w:after="60" w:line="240" w:lineRule="auto"/>
        <w:ind w:firstLine="202"/>
      </w:pPr>
      <w:r>
        <w:rPr>
          <w:rFonts w:ascii="Times New Roman" w:hAnsi="Times New Roman"/>
          <w:b w:val="0"/>
          <w:i w:val="0"/>
          <w:sz w:val="18"/>
        </w:rPr>
        <w:t>SecureLLMBench provides a working foundation for local LLM safety and security evaluation: it runs models, captures a complete trace, computes permitted metric artifacts, preserves provenance, exposes safe read APIs, and renders research data in a dashboard. Its most important current output is disciplined uncertainty. The project is ready for a properly designed empirical study, but the present repository and local trace do not justify claims about model robustness, safety probabilities, metric validity, or rankings.</w:t>
      </w:r>
    </w:p>
    <w:p>
      <w:pPr>
        <w:keepNext/>
        <w:spacing w:before="100" w:after="40"/>
      </w:pPr>
      <w:r>
        <w:rPr>
          <w:rFonts w:ascii="Times New Roman" w:hAnsi="Times New Roman"/>
          <w:b/>
          <w:i w:val="0"/>
          <w:sz w:val="20"/>
        </w:rPr>
        <w:t>REFERENCES</w:t>
      </w:r>
    </w:p>
    <w:p>
      <w:pPr>
        <w:spacing w:before="0" w:after="20" w:line="240" w:lineRule="auto"/>
      </w:pPr>
      <w:r>
        <w:rPr>
          <w:rFonts w:ascii="Times New Roman" w:hAnsi="Times New Roman"/>
          <w:b w:val="0"/>
          <w:i w:val="0"/>
          <w:sz w:val="16"/>
        </w:rPr>
        <w:t>[1] SecureLLMBench, Repository implementation and reproducibility documentation, 2026.</w:t>
      </w:r>
    </w:p>
    <w:p>
      <w:pPr>
        <w:spacing w:before="0" w:after="20" w:line="240" w:lineRule="auto"/>
      </w:pPr>
      <w:r>
        <w:rPr>
          <w:rFonts w:ascii="Times New Roman" w:hAnsi="Times New Roman"/>
          <w:b w:val="0"/>
          <w:i w:val="0"/>
          <w:sz w:val="16"/>
        </w:rPr>
        <w:t>[2] SecureLLMBench, Recovery Capability Reconciled Implementation Specification, 2026.</w:t>
      </w:r>
    </w:p>
    <w:p>
      <w:pPr>
        <w:spacing w:before="0" w:after="20" w:line="240" w:lineRule="auto"/>
      </w:pPr>
      <w:r>
        <w:rPr>
          <w:rFonts w:ascii="Times New Roman" w:hAnsi="Times New Roman"/>
          <w:b w:val="0"/>
          <w:i w:val="0"/>
          <w:sz w:val="16"/>
        </w:rPr>
        <w:t>[3] SecureLLMBench, Sequential Attack Evaluation Algorithm Implementation Specification, 2026.</w:t>
      </w:r>
    </w:p>
    <w:p>
      <w:pPr>
        <w:spacing w:before="0" w:after="20" w:line="240" w:lineRule="auto"/>
      </w:pPr>
      <w:r>
        <w:rPr>
          <w:rFonts w:ascii="Times New Roman" w:hAnsi="Times New Roman"/>
          <w:b w:val="0"/>
          <w:i w:val="0"/>
          <w:sz w:val="16"/>
        </w:rPr>
        <w:t>[4] SecureLLMBench, DRAA and PRI Methodology-to-Implementation Reconciliations, 2026.</w:t>
      </w:r>
    </w:p>
    <w:p>
      <w:pPr>
        <w:spacing w:before="0" w:after="20" w:line="240" w:lineRule="auto"/>
      </w:pPr>
      <w:r>
        <w:rPr>
          <w:rFonts w:ascii="Times New Roman" w:hAnsi="Times New Roman"/>
          <w:b w:val="0"/>
          <w:i w:val="0"/>
          <w:sz w:val="16"/>
        </w:rPr>
        <w:t>[5] FastAPI, SQLAlchemy, React, and Ollama local runtime components, accessed in the implementation environment.</w:t>
      </w:r>
    </w:p>
    <w:sectPr w:rsidR="00FC693F" w:rsidRPr="0006063C" w:rsidSect="00034616">
      <w:type w:val="continuous"/>
      <w:pgSz w:w="12240" w:h="15840"/>
      <w:pgMar w:top="792" w:right="835" w:bottom="792" w:left="83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5"/>
      </w:rPr>
      <w:t>IEEE-style paper draft | repository evidence through 11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val="0"/>
        <w:sz w:val="16"/>
      </w:rPr>
      <w:t>SecureLLMBench: Traceable LLM Security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SecureLLMBench Traceable LLM Security Evaluation</dc:title>
  <dc:subject/>
  <dc:creator>SecureLLMBench</dc:creator>
  <cp:keywords/>
  <dc:description>generated by python-docx</dc:description>
  <cp:lastModifiedBy/>
  <cp:revision>1</cp:revision>
  <dcterms:created xsi:type="dcterms:W3CDTF">2013-12-23T23:15:00Z</dcterms:created>
  <dcterms:modified xsi:type="dcterms:W3CDTF">2013-12-23T23:15:00Z</dcterms:modified>
  <cp:category/>
</cp:coreProperties>
</file>