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7: Priced Scenarios and Avoided Cost</w:t>
      </w:r>
    </w:p>
    <w:p>
      <w:r>
        <w:rPr>
          <w:i/>
        </w:rPr>
        <w:t>Literature-anchored lift, break-even, and a separate avoided-medical-cost arm</w:t>
      </w:r>
    </w:p>
    <w:p>
      <w:r>
        <w:rPr>
          <w:sz w:val="18"/>
        </w:rPr>
        <w:t>Prepared by: KSU mHealth Research Lab   |   Date: 2026-10-10</w:t>
      </w:r>
    </w:p>
    <w:p>
      <w:r>
        <w:rPr>
          <w:b/>
        </w:rPr>
        <w:t>RESEARCH FRAMEWORK. Lift is research-generated or taken from published trials; no InComm lift, financial or issuance data is used. Dollar values are research ranges tagged by provenance.</w:t>
      </w:r>
    </w:p>
    <w:p>
      <w:pPr>
        <w:pStyle w:val="Heading1"/>
      </w:pPr>
      <w:r>
        <w:t>1. Priced ROI under published incentive-trial effects</w:t>
      </w:r>
    </w:p>
    <w:p>
      <w:r>
        <w:t>Relative risks of closure: 1.00 (no effect; the IDEAS diabetic eye screening RCT), 1.17 (colorectal screening, 8 RCTs) and 1.42 (pooled screening meta-analysis). Carried as odds ratios so probabilities stay within 0 to 1. Offer to all, pay on completion. These are scenarios, not InComm results.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Rr Case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Odds Ratio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 Case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Implied 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Net Total Usd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Cost Total Usd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ROI</w:t>
            </w:r>
          </w:p>
        </w:tc>
      </w:tr>
      <w:tr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1.2619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1.1489</w:t>
            </w:r>
          </w:p>
        </w:tc>
        <w:tc>
          <w:tcPr>
            <w:tcW w:type="dxa" w:w="1234"/>
          </w:tcPr>
          <w:p>
            <w:r>
              <w:t>-24,733</w:t>
            </w:r>
          </w:p>
        </w:tc>
        <w:tc>
          <w:tcPr>
            <w:tcW w:type="dxa" w:w="1234"/>
          </w:tcPr>
          <w:p>
            <w:r>
              <w:t>110,752</w:t>
            </w:r>
          </w:p>
        </w:tc>
        <w:tc>
          <w:tcPr>
            <w:tcW w:type="dxa" w:w="1234"/>
          </w:tcPr>
          <w:p>
            <w:r>
              <w:t>-0.2233</w:t>
            </w:r>
          </w:p>
        </w:tc>
      </w:tr>
      <w:tr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1.2619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1.1489</w:t>
            </w:r>
          </w:p>
        </w:tc>
        <w:tc>
          <w:tcPr>
            <w:tcW w:type="dxa" w:w="1234"/>
          </w:tcPr>
          <w:p>
            <w:r>
              <w:t>31,641</w:t>
            </w:r>
          </w:p>
        </w:tc>
        <w:tc>
          <w:tcPr>
            <w:tcW w:type="dxa" w:w="1234"/>
          </w:tcPr>
          <w:p>
            <w:r>
              <w:t>110,752</w:t>
            </w:r>
          </w:p>
        </w:tc>
        <w:tc>
          <w:tcPr>
            <w:tcW w:type="dxa" w:w="1234"/>
          </w:tcPr>
          <w:p>
            <w:r>
              <w:t>0.2857</w:t>
            </w:r>
          </w:p>
        </w:tc>
      </w:tr>
      <w:tr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1.2619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1.1489</w:t>
            </w:r>
          </w:p>
        </w:tc>
        <w:tc>
          <w:tcPr>
            <w:tcW w:type="dxa" w:w="1234"/>
          </w:tcPr>
          <w:p>
            <w:r>
              <w:t>-54,841</w:t>
            </w:r>
          </w:p>
        </w:tc>
        <w:tc>
          <w:tcPr>
            <w:tcW w:type="dxa" w:w="1234"/>
          </w:tcPr>
          <w:p>
            <w:r>
              <w:t>110,752</w:t>
            </w:r>
          </w:p>
        </w:tc>
        <w:tc>
          <w:tcPr>
            <w:tcW w:type="dxa" w:w="1234"/>
          </w:tcPr>
          <w:p>
            <w:r>
              <w:t>-0.4952</w:t>
            </w:r>
          </w:p>
        </w:tc>
      </w:tr>
      <w:tr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1.7317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1.3665</w:t>
            </w:r>
          </w:p>
        </w:tc>
        <w:tc>
          <w:tcPr>
            <w:tcW w:type="dxa" w:w="1234"/>
          </w:tcPr>
          <w:p>
            <w:r>
              <w:t>86,553</w:t>
            </w:r>
          </w:p>
        </w:tc>
        <w:tc>
          <w:tcPr>
            <w:tcW w:type="dxa" w:w="1234"/>
          </w:tcPr>
          <w:p>
            <w:r>
              <w:t>128,563</w:t>
            </w:r>
          </w:p>
        </w:tc>
        <w:tc>
          <w:tcPr>
            <w:tcW w:type="dxa" w:w="1234"/>
          </w:tcPr>
          <w:p>
            <w:r>
              <w:t>0.6732</w:t>
            </w:r>
          </w:p>
        </w:tc>
      </w:tr>
      <w:tr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1.7317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1.3665</w:t>
            </w:r>
          </w:p>
        </w:tc>
        <w:tc>
          <w:tcPr>
            <w:tcW w:type="dxa" w:w="1234"/>
          </w:tcPr>
          <w:p>
            <w:r>
              <w:t>227,504</w:t>
            </w:r>
          </w:p>
        </w:tc>
        <w:tc>
          <w:tcPr>
            <w:tcW w:type="dxa" w:w="1234"/>
          </w:tcPr>
          <w:p>
            <w:r>
              <w:t>128,563</w:t>
            </w:r>
          </w:p>
        </w:tc>
        <w:tc>
          <w:tcPr>
            <w:tcW w:type="dxa" w:w="1234"/>
          </w:tcPr>
          <w:p>
            <w:r>
              <w:t>1.7696</w:t>
            </w:r>
          </w:p>
        </w:tc>
      </w:tr>
      <w:tr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1.7317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1.3665</w:t>
            </w:r>
          </w:p>
        </w:tc>
        <w:tc>
          <w:tcPr>
            <w:tcW w:type="dxa" w:w="1234"/>
          </w:tcPr>
          <w:p>
            <w:r>
              <w:t>11,261</w:t>
            </w:r>
          </w:p>
        </w:tc>
        <w:tc>
          <w:tcPr>
            <w:tcW w:type="dxa" w:w="1234"/>
          </w:tcPr>
          <w:p>
            <w:r>
              <w:t>128,563</w:t>
            </w:r>
          </w:p>
        </w:tc>
        <w:tc>
          <w:tcPr>
            <w:tcW w:type="dxa" w:w="1234"/>
          </w:tcPr>
          <w:p>
            <w:r>
              <w:t>0.0876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-98,224</w:t>
            </w:r>
          </w:p>
        </w:tc>
        <w:tc>
          <w:tcPr>
            <w:tcW w:type="dxa" w:w="1234"/>
          </w:tcPr>
          <w:p>
            <w:r>
              <w:t>98,224</w:t>
            </w:r>
          </w:p>
        </w:tc>
        <w:tc>
          <w:tcPr>
            <w:tcW w:type="dxa" w:w="1234"/>
          </w:tcPr>
          <w:p>
            <w:r>
              <w:t>-1.0000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-98,224</w:t>
            </w:r>
          </w:p>
        </w:tc>
        <w:tc>
          <w:tcPr>
            <w:tcW w:type="dxa" w:w="1234"/>
          </w:tcPr>
          <w:p>
            <w:r>
              <w:t>98,224</w:t>
            </w:r>
          </w:p>
        </w:tc>
        <w:tc>
          <w:tcPr>
            <w:tcW w:type="dxa" w:w="1234"/>
          </w:tcPr>
          <w:p>
            <w:r>
              <w:t>-1.0000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-98,224</w:t>
            </w:r>
          </w:p>
        </w:tc>
        <w:tc>
          <w:tcPr>
            <w:tcW w:type="dxa" w:w="1234"/>
          </w:tcPr>
          <w:p>
            <w:r>
              <w:t>98,224</w:t>
            </w:r>
          </w:p>
        </w:tc>
        <w:tc>
          <w:tcPr>
            <w:tcW w:type="dxa" w:w="1234"/>
          </w:tcPr>
          <w:p>
            <w:r>
              <w:t>-1.0000</w:t>
            </w:r>
          </w:p>
        </w:tc>
      </w:tr>
    </w:tbl>
    <w:p>
      <w:pPr>
        <w:pStyle w:val="Heading1"/>
      </w:pPr>
      <w:r>
        <w:t>2. Break-even relative risk by gap (Stars value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Care Gap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Break Even Rr</w:t>
            </w:r>
          </w:p>
        </w:tc>
      </w:tr>
      <w:tr>
        <w:tc>
          <w:tcPr>
            <w:tcW w:type="dxa" w:w="2880"/>
          </w:tcPr>
          <w:p>
            <w:r>
              <w:t>BH_POST_DISCHARGE_7D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BH_POST_DISCHARGE_7D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BH_POST_DISCHARGE_7D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COPD_SPIROMETRY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COPD_SPIROMETRY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COPD_SPIROMETRY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DIAB_A1C_TEST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1.0826</w:t>
            </w:r>
          </w:p>
        </w:tc>
      </w:tr>
      <w:tr>
        <w:tc>
          <w:tcPr>
            <w:tcW w:type="dxa" w:w="2880"/>
          </w:tcPr>
          <w:p>
            <w:r>
              <w:t>DIAB_A1C_TEST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1.0482</w:t>
            </w:r>
          </w:p>
        </w:tc>
      </w:tr>
      <w:tr>
        <w:tc>
          <w:tcPr>
            <w:tcW w:type="dxa" w:w="2880"/>
          </w:tcPr>
          <w:p>
            <w:r>
              <w:t>DIAB_A1C_TEST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1.1369</w:t>
            </w:r>
          </w:p>
        </w:tc>
      </w:tr>
      <w:tr>
        <w:tc>
          <w:tcPr>
            <w:tcW w:type="dxa" w:w="2880"/>
          </w:tcPr>
          <w:p>
            <w:r>
              <w:t>DIAB_BLOOD_SUGAR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1.0826</w:t>
            </w:r>
          </w:p>
        </w:tc>
      </w:tr>
      <w:tr>
        <w:tc>
          <w:tcPr>
            <w:tcW w:type="dxa" w:w="2880"/>
          </w:tcPr>
          <w:p>
            <w:r>
              <w:t>DIAB_BLOOD_SUGAR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1.0482</w:t>
            </w:r>
          </w:p>
        </w:tc>
      </w:tr>
      <w:tr>
        <w:tc>
          <w:tcPr>
            <w:tcW w:type="dxa" w:w="2880"/>
          </w:tcPr>
          <w:p>
            <w:r>
              <w:t>DIAB_BLOOD_SUGAR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1.1369</w:t>
            </w:r>
          </w:p>
        </w:tc>
      </w:tr>
      <w:tr>
        <w:tc>
          <w:tcPr>
            <w:tcW w:type="dxa" w:w="2880"/>
          </w:tcPr>
          <w:p>
            <w:r>
              <w:t>DIAB_EYE_EXAM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1.1794</w:t>
            </w:r>
          </w:p>
        </w:tc>
      </w:tr>
      <w:tr>
        <w:tc>
          <w:tcPr>
            <w:tcW w:type="dxa" w:w="2880"/>
          </w:tcPr>
          <w:p>
            <w:r>
              <w:t>DIAB_EYE_EXAM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1.1004</w:t>
            </w:r>
          </w:p>
        </w:tc>
      </w:tr>
      <w:tr>
        <w:tc>
          <w:tcPr>
            <w:tcW w:type="dxa" w:w="2880"/>
          </w:tcPr>
          <w:p>
            <w:r>
              <w:t>DIAB_EYE_EXAM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1.3032</w:t>
            </w:r>
          </w:p>
        </w:tc>
      </w:tr>
      <w:tr>
        <w:tc>
          <w:tcPr>
            <w:tcW w:type="dxa" w:w="2880"/>
          </w:tcPr>
          <w:p>
            <w:r>
              <w:t>DIAB_NEPHRO_SCREEN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1.3216</w:t>
            </w:r>
          </w:p>
        </w:tc>
      </w:tr>
      <w:tr>
        <w:tc>
          <w:tcPr>
            <w:tcW w:type="dxa" w:w="2880"/>
          </w:tcPr>
          <w:p>
            <w:r>
              <w:t>DIAB_NEPHRO_SCREEN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1.1607</w:t>
            </w:r>
          </w:p>
        </w:tc>
      </w:tr>
      <w:tr>
        <w:tc>
          <w:tcPr>
            <w:tcW w:type="dxa" w:w="2880"/>
          </w:tcPr>
          <w:p>
            <w:r>
              <w:t>DIAB_NEPHRO_SCREEN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1.6556</w:t>
            </w:r>
          </w:p>
        </w:tc>
      </w:tr>
      <w:tr>
        <w:tc>
          <w:tcPr>
            <w:tcW w:type="dxa" w:w="2880"/>
          </w:tcPr>
          <w:p>
            <w:r>
              <w:t>HTN_PCP_FOLLOWUP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1.1021</w:t>
            </w:r>
          </w:p>
        </w:tc>
      </w:tr>
      <w:tr>
        <w:tc>
          <w:tcPr>
            <w:tcW w:type="dxa" w:w="2880"/>
          </w:tcPr>
          <w:p>
            <w:r>
              <w:t>HTN_PCP_FOLLOWUP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1.0618</w:t>
            </w:r>
          </w:p>
        </w:tc>
      </w:tr>
      <w:tr>
        <w:tc>
          <w:tcPr>
            <w:tcW w:type="dxa" w:w="2880"/>
          </w:tcPr>
          <w:p>
            <w:r>
              <w:t>HTN_PCP_FOLLOWUP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1.1512</w:t>
            </w:r>
          </w:p>
        </w:tc>
      </w:tr>
    </w:tbl>
    <w:p>
      <w:pPr>
        <w:pStyle w:val="Heading1"/>
      </w:pPr>
      <w:r>
        <w:t>3. Avoided medical cost arm (separate; never summed into the Stars headline)</w:t>
      </w:r>
    </w:p>
    <w:p>
      <w:pPr>
        <w:pStyle w:val="ListBullet"/>
      </w:pPr>
      <w:r>
        <w:t>Only BH 7-day follow-up has a published closure-to-readmission link. It is observational (adjusted odds ratios 0.88 to 0.91), so the low case is zero effect.</w:t>
      </w:r>
    </w:p>
    <w:p>
      <w:pPr>
        <w:pStyle w:val="ListBullet"/>
      </w:pPr>
      <w:r>
        <w:t>Every other gap is NOT_MODELLED: absence of verified evidence, not proof of no benefit. Screening often raises near-term spending, so no value is guessed.</w:t>
      </w:r>
    </w:p>
    <w:p>
      <w:pPr>
        <w:pStyle w:val="ListBullet"/>
      </w:pPr>
      <w:r>
        <w:t>One 30-day event, no discounting. The plan bears the cost under capitation.</w:t>
      </w:r>
    </w:p>
    <w:p>
      <w:pPr>
        <w:pStyle w:val="ListBullet"/>
      </w:pPr>
      <w:r>
        <w:t>Inputs: readmission rate 11 / 20 / 36% (CMS inpatient psychiatric facility data); odds reduction 0 / 0.10 / 0.22; cost per readmission $8,800 / $12,150 / $15,500 (HCUP, Medicare).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Care Gap 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 Case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Closure Value Usd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Avoided Cost Usd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Net Per Offer Usd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Net Per Offer With Avoided Usd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Break Even Rr With Avoided</w:t>
            </w:r>
          </w:p>
        </w:tc>
      </w:tr>
      <w:tr>
        <w:tc>
          <w:tcPr>
            <w:tcW w:type="dxa" w:w="1234"/>
          </w:tcPr>
          <w:p>
            <w:r>
              <w:t>BH_POST_DISCHARGE_7D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1.221e-13</w:t>
            </w:r>
          </w:p>
        </w:tc>
        <w:tc>
          <w:tcPr>
            <w:tcW w:type="dxa" w:w="1234"/>
          </w:tcPr>
          <w:p>
            <w:r>
              <w:t>-17.4528</w:t>
            </w:r>
          </w:p>
        </w:tc>
        <w:tc>
          <w:tcPr>
            <w:tcW w:type="dxa" w:w="1234"/>
          </w:tcPr>
          <w:p>
            <w:r>
              <w:t>-17.4528</w:t>
            </w:r>
          </w:p>
        </w:tc>
        <w:tc>
          <w:tcPr>
            <w:tcW w:type="dxa" w:w="1234"/>
          </w:tcPr>
          <w:p>
            <w:r>
              <w:t>n/a</w:t>
            </w:r>
          </w:p>
        </w:tc>
      </w:tr>
      <w:tr>
        <w:tc>
          <w:tcPr>
            <w:tcW w:type="dxa" w:w="1234"/>
          </w:tcPr>
          <w:p>
            <w:r>
              <w:t>BH_POST_DISCHARGE_7D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198.3673</w:t>
            </w:r>
          </w:p>
        </w:tc>
        <w:tc>
          <w:tcPr>
            <w:tcW w:type="dxa" w:w="1234"/>
          </w:tcPr>
          <w:p>
            <w:r>
              <w:t>-17.4528</w:t>
            </w:r>
          </w:p>
        </w:tc>
        <w:tc>
          <w:tcPr>
            <w:tcW w:type="dxa" w:w="1234"/>
          </w:tcPr>
          <w:p>
            <w:r>
              <w:t>-9.1981</w:t>
            </w:r>
          </w:p>
        </w:tc>
        <w:tc>
          <w:tcPr>
            <w:tcW w:type="dxa" w:w="1234"/>
          </w:tcPr>
          <w:p>
            <w:r>
              <w:t>1.1259</w:t>
            </w:r>
          </w:p>
        </w:tc>
      </w:tr>
      <w:tr>
        <w:tc>
          <w:tcPr>
            <w:tcW w:type="dxa" w:w="1234"/>
          </w:tcPr>
          <w:p>
            <w:r>
              <w:t>BH_POST_DISCHARGE_7D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853.2407</w:t>
            </w:r>
          </w:p>
        </w:tc>
        <w:tc>
          <w:tcPr>
            <w:tcW w:type="dxa" w:w="1234"/>
          </w:tcPr>
          <w:p>
            <w:r>
              <w:t>-17.4528</w:t>
            </w:r>
          </w:p>
        </w:tc>
        <w:tc>
          <w:tcPr>
            <w:tcW w:type="dxa" w:w="1234"/>
          </w:tcPr>
          <w:p>
            <w:r>
              <w:t>18.0534</w:t>
            </w:r>
          </w:p>
        </w:tc>
        <w:tc>
          <w:tcPr>
            <w:tcW w:type="dxa" w:w="1234"/>
          </w:tcPr>
          <w:p>
            <w:r>
              <w:t>1.0267</w:t>
            </w:r>
          </w:p>
        </w:tc>
      </w:tr>
    </w:tbl>
    <w:p>
      <w:r>
        <w:t>Reading: at base, BH follow-up avoids $198 per closure and still nets $-9.20 per offer under the base literature lift (implied RR 1.06 against a break-even of 1.13). It pays only in the high case. BH baseline closure is already 74.5%, so there is little room to lift.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