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7: Review Findings and Actions</w:t>
      </w:r>
    </w:p>
    <w:p>
      <w:r>
        <w:rPr>
          <w:i/>
        </w:rPr>
        <w:t>What the reviews found, what we changed, and what remains open</w:t>
      </w:r>
    </w:p>
    <w:p>
      <w:r>
        <w:rPr>
          <w:sz w:val="18"/>
        </w:rPr>
        <w:t>Prepared by: KSU mHealth Research Lab   |   Date: 2026-10-10</w:t>
      </w:r>
    </w:p>
    <w:p>
      <w:r>
        <w:rPr>
          <w:b/>
        </w:rPr>
        <w:t>RESEARCH FRAMEWORK. Lift is research-generated or taken from published trials; no InComm lift, financial or issuance data is used. Dollar values are research ranges tagged by provenance.</w:t>
      </w:r>
    </w:p>
    <w:p>
      <w:pPr>
        <w:pStyle w:val="Heading1"/>
      </w:pPr>
      <w:r>
        <w:t>1. Where we are</w:t>
      </w:r>
    </w:p>
    <w:p>
      <w:pPr>
        <w:pStyle w:val="ListBullet"/>
      </w:pPr>
      <w:r>
        <w:t>Measured lift on the research mock: ATE 0.0114 (SE 0.0187); minimum detectable 0.0524. Status: LIFT_NOT_DISTINGUISHABLE_FROM_ZERO. No measured dollar ROI is claimed.</w:t>
      </w:r>
    </w:p>
    <w:p>
      <w:pPr>
        <w:pStyle w:val="ListBullet"/>
      </w:pPr>
      <w:r>
        <w:t>Star value of one closure: about $157 at base ($102 to $260), measured on CMS public 2026 data. Break-even lift is about 5.5 percentage points offered to all (3.3 to 8.4).</w:t>
      </w:r>
    </w:p>
    <w:p>
      <w:pPr>
        <w:pStyle w:val="ListBullet"/>
      </w:pPr>
      <w:r>
        <w:t>Under published incentive-trial effects (CRC-anchored RR 1.17) the program nets $-24,733 at base value (ROI -0.22x). It pays for DIAB_A1C_TEST, DIAB_BLOOD_SUGAR and HTN_PCP_FOLLOWUP and not for the other gaps.</w:t>
      </w:r>
    </w:p>
    <w:p>
      <w:pPr>
        <w:pStyle w:val="ListBullet"/>
      </w:pPr>
      <w:r>
        <w:t>Method: every input comes from the reference tables in the InComm database, public CMS/KFF/HCUP data, or published trials, and is labeled by source.</w:t>
      </w:r>
    </w:p>
    <w:p>
      <w:pPr>
        <w:pStyle w:val="Heading1"/>
      </w:pPr>
      <w:r>
        <w:t>2a. InComm feedback on Milestone 7 and our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Eligible-share assumption drives the $157 per closure</w:t>
            </w:r>
          </w:p>
        </w:tc>
        <w:tc>
          <w:tcPr>
            <w:tcW w:type="dxa" w:w="2880"/>
          </w:tcPr>
          <w:p>
            <w:r>
              <w:t>Correct. The share was a fixed public anchor (diabetes 26%), and a plan with an SNP-heavy mix can differ.</w:t>
            </w:r>
          </w:p>
        </w:tc>
        <w:tc>
          <w:tcPr>
            <w:tcW w:type="dxa" w:w="2880"/>
          </w:tcPr>
          <w:p>
            <w:r>
              <w:t>Plan-supplied share is now an input. At a diabetes share of 40% the mean value is about $114 per closure and the break-even lift is 1.38 times the base (about 7.6pp). Sweep published from 20% to 50%.</w:t>
            </w:r>
          </w:p>
        </w:tc>
      </w:tr>
      <w:tr>
        <w:tc>
          <w:tcPr>
            <w:tcW w:type="dxa" w:w="2880"/>
          </w:tcPr>
          <w:p>
            <w:r>
              <w:t>Value should be conditional on a contract's star position</w:t>
            </w:r>
          </w:p>
        </w:tc>
        <w:tc>
          <w:tcPr>
            <w:tcW w:type="dxa" w:w="2880"/>
          </w:tcPr>
          <w:p>
            <w:r>
              <w:t>Correct. The headline averages over all 524 contracts, but only 3.5-star contracts can cross the 4-star boundary, and most of those have the measure far from a cut point.</w:t>
            </w:r>
          </w:p>
        </w:tc>
        <w:tc>
          <w:tcPr>
            <w:tcW w:type="dxa" w:w="2880"/>
          </w:tcPr>
          <w:p>
            <w:r>
              <w:t>Value now published by position. A 3.5-star contract with the measure near a cut point is worth about six times the average; other positions get $0 from this route. Downside protection for 4.0-star contracts is not modelled and is stated.</w:t>
            </w:r>
          </w:p>
        </w:tc>
      </w:tr>
      <w:tr>
        <w:tc>
          <w:tcPr>
            <w:tcW w:type="dxa" w:w="2880"/>
          </w:tcPr>
          <w:p>
            <w:r>
              <w:t>Redemption rate 0.988 is a proxy for OTC activation</w:t>
            </w:r>
          </w:p>
        </w:tc>
        <w:tc>
          <w:tcPr>
            <w:tcW w:type="dxa" w:w="2880"/>
          </w:tcPr>
          <w:p>
            <w:r>
              <w:t>Correct. Activation is not reward redemption, and 0.55 and 0.75 are equally unsourced.</w:t>
            </w:r>
          </w:p>
        </w:tc>
        <w:tc>
          <w:tcPr>
            <w:tcW w:type="dxa" w:w="2880"/>
          </w:tcPr>
          <w:p>
            <w:r>
              <w:t>0.988 is now labeled the cost ceiling. The break-even lift is reported as a range (5.5pp at 0.988, 4.2pp at 0.75, 3.1pp at 0.55). Redemption is an input.</w:t>
            </w:r>
          </w:p>
        </w:tc>
      </w:tr>
      <w:tr>
        <w:tc>
          <w:tcPr>
            <w:tcW w:type="dxa" w:w="2880"/>
          </w:tcPr>
          <w:p>
            <w:r>
              <w:t>Zero claims anomalies is circular on mock data</w:t>
            </w:r>
          </w:p>
        </w:tc>
        <w:tc>
          <w:tcPr>
            <w:tcW w:type="dxa" w:w="2880"/>
          </w:tcPr>
          <w:p>
            <w:r>
              <w:t>Correct. Closure is derived from the same claim, CPT and date the checks read back, so member, CPT, date and window agree by construction.</w:t>
            </w:r>
          </w:p>
        </w:tc>
        <w:tc>
          <w:tcPr>
            <w:tcW w:type="dxa" w:w="2880"/>
          </w:tcPr>
          <w:p>
            <w:r>
              <w:t>Renamed a referential-integrity check, not a validation. A fault-injection test shows the checker flags known faults (100% of six fault types, 0% false positives).</w:t>
            </w:r>
          </w:p>
        </w:tc>
      </w:tr>
    </w:tbl>
    <w:p>
      <w:pPr>
        <w:pStyle w:val="Heading1"/>
      </w:pPr>
      <w:r>
        <w:t>2. InComm feedback (28 September 2026) and our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Invented simulation parameters; rolling period is at least a year</w:t>
            </w:r>
          </w:p>
        </w:tc>
        <w:tc>
          <w:tcPr>
            <w:tcW w:type="dxa" w:w="2880"/>
          </w:tcPr>
          <w:p>
            <w:r>
              <w:t>Correct: the 90-day window was an error. FundLifeSpan in InComm's wallet configuration is 365 days.</w:t>
            </w:r>
          </w:p>
        </w:tc>
        <w:tc>
          <w:tcPr>
            <w:tcW w:type="dxa" w:w="2880"/>
          </w:tcPr>
          <w:p>
            <w:r>
              <w:t>Window is 365 days; 90 and 180 days are sensitivity only. Amounts drawn from InComm's own per-gap pools. Offer probability and lag are assumptions, swept over 9 combinations: null in all.</w:t>
            </w:r>
          </w:p>
        </w:tc>
      </w:tr>
      <w:tr>
        <w:tc>
          <w:tcPr>
            <w:tcW w:type="dxa" w:w="2880"/>
          </w:tcPr>
          <w:p>
            <w:r>
              <w:t>Elasticity reported NOT_AVAILABLE</w:t>
            </w:r>
          </w:p>
        </w:tc>
        <w:tc>
          <w:tcPr>
            <w:tcW w:type="dxa" w:w="2880"/>
          </w:tcPr>
          <w:p>
            <w:r>
              <w:t>Every offer used one amount per gap, so no dose-response existed.</w:t>
            </w:r>
          </w:p>
        </w:tc>
        <w:tc>
          <w:tcPr>
            <w:tcW w:type="dxa" w:w="2880"/>
          </w:tcPr>
          <w:p>
            <w:r>
              <w:t>Within-gap fixed-effects estimator on varying amounts; minimum detectable slope about 1.3pp per $10. Real response curve needs a randomized amount arm (design written).</w:t>
            </w:r>
          </w:p>
        </w:tc>
      </w:tr>
      <w:tr>
        <w:tc>
          <w:tcPr>
            <w:tcW w:type="dxa" w:w="2880"/>
          </w:tcPr>
          <w:p>
            <w:r>
              <w:t>Diabetes cohort had an empty untreated arm</w:t>
            </w:r>
          </w:p>
        </w:tc>
        <w:tc>
          <w:tcPr>
            <w:tcW w:type="dxa" w:w="2880"/>
          </w:tcPr>
          <w:p>
            <w:r>
              <w:t>An artifact: lifetime reward counts were copied onto every gap of a member.</w:t>
            </w:r>
          </w:p>
        </w:tc>
        <w:tc>
          <w:tcPr>
            <w:tcW w:type="dxa" w:w="2880"/>
          </w:tcPr>
          <w:p>
            <w:r>
              <w:t>Gap-level exposure; every diabetes gap has both arms. A positivity table and Manski bounds now handle any genuinely empty arm.</w:t>
            </w:r>
          </w:p>
        </w:tc>
      </w:tr>
      <w:tr>
        <w:tc>
          <w:tcPr>
            <w:tcW w:type="dxa" w:w="2880"/>
          </w:tcPr>
          <w:p>
            <w:r>
              <w:t>CKD excluded</w:t>
            </w:r>
          </w:p>
        </w:tc>
        <w:tc>
          <w:tcPr>
            <w:tcW w:type="dxa" w:w="2880"/>
          </w:tcPr>
          <w:p>
            <w:r>
              <w:t>ConditionCode CKD versus CHRONIC_KIDNEY_DISEASE mismatch means InComm's rules engine never produced a CKD row.</w:t>
            </w:r>
          </w:p>
        </w:tc>
        <w:tc>
          <w:tcPr>
            <w:tcW w:type="dxa" w:w="2880"/>
          </w:tcPr>
          <w:p>
            <w:r>
              <w:t>Run as a separate secondary cohort on research labels; never mixed into the headline.</w:t>
            </w:r>
          </w:p>
        </w:tc>
      </w:tr>
    </w:tbl>
    <w:p>
      <w:pPr>
        <w:pStyle w:val="Heading1"/>
      </w:pPr>
      <w:r>
        <w:t>3. Defects we found ourselves and fixed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Class balancing in the AIPW nuisance models</w:t>
            </w:r>
          </w:p>
        </w:tc>
        <w:tc>
          <w:tcPr>
            <w:tcW w:type="dxa" w:w="2880"/>
          </w:tcPr>
          <w:p>
            <w:r>
              <w:t>Inflated the treatment effect to +3.3pp on a zero-effect mock and produced 52 'Treat' members</w:t>
            </w:r>
          </w:p>
        </w:tc>
        <w:tc>
          <w:tcPr>
            <w:tcW w:type="dxa" w:w="2880"/>
          </w:tcPr>
          <w:p>
            <w:r>
              <w:t>Removed; recovery tests (null, known effect, known heterogeneity, known dose-response) fail with the bug and pass without. M6 documents regenerated.</w:t>
            </w:r>
          </w:p>
        </w:tc>
      </w:tr>
      <w:tr>
        <w:tc>
          <w:tcPr>
            <w:tcW w:type="dxa" w:w="2880"/>
          </w:tcPr>
          <w:p>
            <w:r>
              <w:t>In-sample top-fraction uplift sums</w:t>
            </w:r>
          </w:p>
        </w:tc>
        <w:tc>
          <w:tcPr>
            <w:tcW w:type="dxa" w:w="2880"/>
          </w:tcPr>
          <w:p>
            <w:r>
              <w:t>Winner's curse: probability of net benefit near 1.0</w:t>
            </w:r>
          </w:p>
        </w:tc>
        <w:tc>
          <w:tcPr>
            <w:tcW w:type="dxa" w:w="2880"/>
          </w:tcPr>
          <w:p>
            <w:r>
              <w:t>Monte Carlo centered on the population ATE with its standard error.</w:t>
            </w:r>
          </w:p>
        </w:tc>
      </w:tr>
      <w:tr>
        <w:tc>
          <w:tcPr>
            <w:tcW w:type="dxa" w:w="2880"/>
          </w:tcPr>
          <w:p>
            <w:r>
              <w:t>A1C and blood sugar closures valued twice</w:t>
            </w:r>
          </w:p>
        </w:tc>
        <w:tc>
          <w:tcPr>
            <w:tcW w:type="dxa" w:w="2880"/>
          </w:tcPr>
          <w:p>
            <w:r>
              <w:t>Overstated Stars value</w:t>
            </w:r>
          </w:p>
        </w:tc>
        <w:tc>
          <w:tcPr>
            <w:tcW w:type="dxa" w:w="2880"/>
          </w:tcPr>
          <w:p>
            <w:r>
              <w:t>Measure value split across gaps sharing a measure.</w:t>
            </w:r>
          </w:p>
        </w:tc>
      </w:tr>
      <w:tr>
        <w:tc>
          <w:tcPr>
            <w:tcW w:type="dxa" w:w="2880"/>
          </w:tcPr>
          <w:p>
            <w:r>
              <w:t>Relative risk applied to a 74% baseline</w:t>
            </w:r>
          </w:p>
        </w:tc>
        <w:tc>
          <w:tcPr>
            <w:tcW w:type="dxa" w:w="2880"/>
          </w:tcPr>
          <w:p>
            <w:r>
              <w:t>Probabilities above 1</w:t>
            </w:r>
          </w:p>
        </w:tc>
        <w:tc>
          <w:tcPr>
            <w:tcW w:type="dxa" w:w="2880"/>
          </w:tcPr>
          <w:p>
            <w:r>
              <w:t>Effect carried on the odds-ratio scale.</w:t>
            </w:r>
          </w:p>
        </w:tc>
      </w:tr>
      <w:tr>
        <w:tc>
          <w:tcPr>
            <w:tcW w:type="dxa" w:w="2880"/>
          </w:tcPr>
          <w:p>
            <w:r>
              <w:t>InComm StarsWeight differs from CMS 2026 weights; two gaps feed no Part C measure</w:t>
            </w:r>
          </w:p>
        </w:tc>
        <w:tc>
          <w:tcPr>
            <w:tcW w:type="dxa" w:w="2880"/>
          </w:tcPr>
          <w:p>
            <w:r>
              <w:t>Overvalued eye exam and kidney screening; BH and COPD valued at nonzero</w:t>
            </w:r>
          </w:p>
        </w:tc>
        <w:tc>
          <w:tcPr>
            <w:tcW w:type="dxa" w:w="2880"/>
          </w:tcPr>
          <w:p>
            <w:r>
              <w:t>CMS weights used; discrepancy table published; BH and COPD Stars value is exactly 0.</w:t>
            </w:r>
          </w:p>
        </w:tc>
      </w:tr>
      <w:tr>
        <w:tc>
          <w:tcPr>
            <w:tcW w:type="dxa" w:w="2880"/>
          </w:tcPr>
          <w:p>
            <w:r>
              <w:t>Unsourced Stars value per closure</w:t>
            </w:r>
          </w:p>
        </w:tc>
        <w:tc>
          <w:tcPr>
            <w:tcW w:type="dxa" w:w="2880"/>
          </w:tcPr>
          <w:p>
            <w:r>
              <w:t>Value was a typed assumption</w:t>
            </w:r>
          </w:p>
        </w:tc>
        <w:tc>
          <w:tcPr>
            <w:tcW w:type="dxa" w:w="2880"/>
          </w:tcPr>
          <w:p>
            <w:r>
              <w:t>Boundary density measured on 524 CMS contracts; engine reproduces 98% of published ratings within half a star.</w:t>
            </w:r>
          </w:p>
        </w:tc>
      </w:tr>
      <w:tr>
        <w:tc>
          <w:tcPr>
            <w:tcW w:type="dxa" w:w="2880"/>
          </w:tcPr>
          <w:p>
            <w:r>
              <w:t>Wrong (V24) CMS table once fetched</w:t>
            </w:r>
          </w:p>
        </w:tc>
        <w:tc>
          <w:tcPr>
            <w:tcW w:type="dxa" w:w="2880"/>
          </w:tcPr>
          <w:p>
            <w:r>
              <w:t>Would have misstated RAF factors</w:t>
            </w:r>
          </w:p>
        </w:tc>
        <w:tc>
          <w:tcPr>
            <w:tcW w:type="dxa" w:w="2880"/>
          </w:tcPr>
          <w:p>
            <w:r>
              <w:t>Only V28 factors found in CMS materials used (diabetes 0.166, CKD stage 4 0.514); others stay NOT_AVAILABLE.</w:t>
            </w:r>
          </w:p>
        </w:tc>
      </w:tr>
    </w:tbl>
    <w:p>
      <w:pPr>
        <w:pStyle w:val="Heading1"/>
      </w:pPr>
      <w:r>
        <w:t>4. Items InComm raised or implied that M7 now covers</w:t>
      </w:r>
    </w:p>
    <w:p>
      <w:pPr>
        <w:pStyle w:val="ListBullet"/>
      </w:pPr>
      <w:r>
        <w:t>Reward attribution: impossible on real data (claims precede cases); handled by probability of necessity and a recommendation to record offer timestamps.</w:t>
      </w:r>
    </w:p>
    <w:p>
      <w:pPr>
        <w:pStyle w:val="ListBullet"/>
      </w:pPr>
      <w:r>
        <w:t>RAF: separate arm. Most gaps are laboratory or imaging tests that are not risk-adjustment eligible, so their RAF value is zero; HTN follow-up is not available without verified factors.</w:t>
      </w:r>
    </w:p>
    <w:p>
      <w:pPr>
        <w:pStyle w:val="ListBullet"/>
      </w:pPr>
      <w:r>
        <w:t>Priced ROI: provided as labeled scenarios under published trial effects with break-even relative risk per gap, plus a separate avoided-cost arm for BH follow-up.</w:t>
      </w:r>
    </w:p>
    <w:p>
      <w:pPr>
        <w:pStyle w:val="Heading1"/>
      </w:pPr>
      <w:r>
        <w:t>5. What remains open and why</w:t>
      </w:r>
    </w:p>
    <w:p>
      <w:pPr>
        <w:pStyle w:val="ListBullet"/>
      </w:pPr>
      <w:r>
        <w:t>Measured lift: needs randomized offers. Sizing: about 1,500 members per arm detects +5pp pooled (design document).</w:t>
      </w:r>
    </w:p>
    <w:p>
      <w:pPr>
        <w:pStyle w:val="ListBullet"/>
      </w:pPr>
      <w:r>
        <w:t>Structural limits of the value model: uniform position inside a half-star band, categorical adjustment and reward factor not modelled, no downside protection for 4.0-star contracts, single-measure marginal view.</w:t>
      </w:r>
    </w:p>
    <w:p>
      <w:pPr>
        <w:pStyle w:val="ListBullet"/>
      </w:pPr>
      <w:r>
        <w:t>Independent claims checks need diagnosis and claim-status fields beyond what the closure derivation guarantees; the checker flags a claim reused across members as one that does.</w:t>
      </w:r>
    </w:p>
    <w:p>
      <w:pPr>
        <w:pStyle w:val="ListBullet"/>
      </w:pPr>
      <w:r>
        <w:t>Avoided cost: BH only and observational; no verified link for other gaps. Not added to the headline.</w:t>
      </w:r>
    </w:p>
    <w:p>
      <w:pPr>
        <w:pStyle w:val="ListBullet"/>
      </w:pPr>
      <w:r>
        <w:t>Synthetic data: claim IDs are MOCK-CLM and the IncentiveRewards ledger is research-generated, so clean validation describes the generator, not InComm production quality.</w:t>
      </w:r>
    </w:p>
    <w:p>
      <w:pPr>
        <w:pStyle w:val="ListBullet"/>
      </w:pPr>
      <w:r>
        <w:t>Not confirmed: whether withholding offers from a control group is permitted by program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