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7: Star Value Model</w:t>
      </w:r>
    </w:p>
    <w:p>
      <w:r>
        <w:rPr>
          <w:i/>
        </w:rPr>
        <w:t>What one extra care-gap closure is worth through Star Ratings and QBP</w:t>
      </w:r>
    </w:p>
    <w:p>
      <w:r>
        <w:rPr>
          <w:sz w:val="18"/>
        </w:rPr>
        <w:t>Prepared by: KSU mHealth Research Lab   |   Date: 2026-10-10</w:t>
      </w:r>
    </w:p>
    <w:p>
      <w:r>
        <w:rPr>
          <w:b/>
        </w:rPr>
        <w:t>RESEARCH FRAMEWORK. Lift is research-generated or taken from published trials; no InComm lift, financial or issuance data is used. Dollar values are research ranges tagged by provenance.</w:t>
      </w:r>
    </w:p>
    <w:p>
      <w:pPr>
        <w:pStyle w:val="Heading1"/>
      </w:pPr>
      <w:r>
        <w:t>1. Method</w:t>
      </w:r>
    </w:p>
    <w:p>
      <w:pPr>
        <w:pStyle w:val="ListBullet"/>
      </w:pPr>
      <w:r>
        <w:t>Value of a closure = QBP dollars per enrollee x boundary density (rho) x pass-through / eligible share / gaps sharing the measure.</w:t>
      </w:r>
    </w:p>
    <w:p>
      <w:pPr>
        <w:pStyle w:val="ListBullet"/>
      </w:pPr>
      <w:r>
        <w:t>rho is measured, not assumed: for every rated Medicare Advantage contract in CMS's public 2026 Star Ratings data, how likely is a small rate increase to cross a cut point and lift the overall rating over the 4-star QBP boundary.</w:t>
      </w:r>
    </w:p>
    <w:p>
      <w:pPr>
        <w:pStyle w:val="ListBullet"/>
      </w:pPr>
      <w:r>
        <w:t>QBP per enrollee: KFF 2026, $318 / $381 / $466. Eligible shares: public prevalence anchors (diabetes 0.20 / 0.26 / 0.32; hypertension 0.50 / 0.60 / 0.65).</w:t>
      </w:r>
    </w:p>
    <w:p>
      <w:pPr>
        <w:pStyle w:val="Heading1"/>
      </w:pPr>
      <w:r>
        <w:t>2. Measured boundary density (CMS 2026, public)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Measure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 Contracts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Rate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Rho Low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Rho 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Rho High</w:t>
            </w:r>
          </w:p>
        </w:tc>
      </w:tr>
      <w:tr>
        <w:tc>
          <w:tcPr>
            <w:tcW w:type="dxa" w:w="1234"/>
          </w:tcPr>
          <w:p>
            <w:r>
              <w:t>C11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523</w:t>
            </w:r>
          </w:p>
        </w:tc>
        <w:tc>
          <w:tcPr>
            <w:tcW w:type="dxa" w:w="1234"/>
          </w:tcPr>
          <w:p>
            <w:r>
              <w:t>0.7778</w:t>
            </w:r>
          </w:p>
        </w:tc>
        <w:tc>
          <w:tcPr>
            <w:tcW w:type="dxa" w:w="1234"/>
          </w:tcPr>
          <w:p>
            <w:r>
              <w:t>0.0947</w:t>
            </w:r>
          </w:p>
        </w:tc>
        <w:tc>
          <w:tcPr>
            <w:tcW w:type="dxa" w:w="1234"/>
          </w:tcPr>
          <w:p>
            <w:r>
              <w:t>0.0982</w:t>
            </w:r>
          </w:p>
        </w:tc>
        <w:tc>
          <w:tcPr>
            <w:tcW w:type="dxa" w:w="1234"/>
          </w:tcPr>
          <w:p>
            <w:r>
              <w:t>0.1030</w:t>
            </w:r>
          </w:p>
        </w:tc>
      </w:tr>
      <w:tr>
        <w:tc>
          <w:tcPr>
            <w:tcW w:type="dxa" w:w="1234"/>
          </w:tcPr>
          <w:p>
            <w:r>
              <w:t>C12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523</w:t>
            </w:r>
          </w:p>
        </w:tc>
        <w:tc>
          <w:tcPr>
            <w:tcW w:type="dxa" w:w="1234"/>
          </w:tcPr>
          <w:p>
            <w:r>
              <w:t>0.8538</w:t>
            </w:r>
          </w:p>
        </w:tc>
        <w:tc>
          <w:tcPr>
            <w:tcW w:type="dxa" w:w="1234"/>
          </w:tcPr>
          <w:p>
            <w:r>
              <w:t>0.4523</w:t>
            </w:r>
          </w:p>
        </w:tc>
        <w:tc>
          <w:tcPr>
            <w:tcW w:type="dxa" w:w="1234"/>
          </w:tcPr>
          <w:p>
            <w:r>
              <w:t>0.4843</w:t>
            </w:r>
          </w:p>
        </w:tc>
        <w:tc>
          <w:tcPr>
            <w:tcW w:type="dxa" w:w="1234"/>
          </w:tcPr>
          <w:p>
            <w:r>
              <w:t>0.5049</w:t>
            </w:r>
          </w:p>
        </w:tc>
      </w:tr>
      <w:tr>
        <w:tc>
          <w:tcPr>
            <w:tcW w:type="dxa" w:w="1234"/>
          </w:tcPr>
          <w:p>
            <w:r>
              <w:t>C13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522</w:t>
            </w:r>
          </w:p>
        </w:tc>
        <w:tc>
          <w:tcPr>
            <w:tcW w:type="dxa" w:w="1234"/>
          </w:tcPr>
          <w:p>
            <w:r>
              <w:t>0.6178</w:t>
            </w:r>
          </w:p>
        </w:tc>
        <w:tc>
          <w:tcPr>
            <w:tcW w:type="dxa" w:w="1234"/>
          </w:tcPr>
          <w:p>
            <w:r>
              <w:t>0.0687</w:t>
            </w:r>
          </w:p>
        </w:tc>
        <w:tc>
          <w:tcPr>
            <w:tcW w:type="dxa" w:w="1234"/>
          </w:tcPr>
          <w:p>
            <w:r>
              <w:t>0.0759</w:t>
            </w:r>
          </w:p>
        </w:tc>
        <w:tc>
          <w:tcPr>
            <w:tcW w:type="dxa" w:w="1234"/>
          </w:tcPr>
          <w:p>
            <w:r>
              <w:t>0.0839</w:t>
            </w:r>
          </w:p>
        </w:tc>
      </w:tr>
      <w:tr>
        <w:tc>
          <w:tcPr>
            <w:tcW w:type="dxa" w:w="1234"/>
          </w:tcPr>
          <w:p>
            <w:r>
              <w:t>C14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508</w:t>
            </w:r>
          </w:p>
        </w:tc>
        <w:tc>
          <w:tcPr>
            <w:tcW w:type="dxa" w:w="1234"/>
          </w:tcPr>
          <w:p>
            <w:r>
              <w:t>0.7910</w:t>
            </w:r>
          </w:p>
        </w:tc>
        <w:tc>
          <w:tcPr>
            <w:tcW w:type="dxa" w:w="1234"/>
          </w:tcPr>
          <w:p>
            <w:r>
              <w:t>0.4355</w:t>
            </w:r>
          </w:p>
        </w:tc>
        <w:tc>
          <w:tcPr>
            <w:tcW w:type="dxa" w:w="1234"/>
          </w:tcPr>
          <w:p>
            <w:r>
              <w:t>0.4757</w:t>
            </w:r>
          </w:p>
        </w:tc>
        <w:tc>
          <w:tcPr>
            <w:tcW w:type="dxa" w:w="1234"/>
          </w:tcPr>
          <w:p>
            <w:r>
              <w:t>0.5159</w:t>
            </w:r>
          </w:p>
        </w:tc>
      </w:tr>
    </w:tbl>
    <w:p>
      <w:pPr>
        <w:pStyle w:val="Heading1"/>
      </w:pPr>
      <w:r>
        <w:t>3. Validation of the engine</w:t>
      </w:r>
    </w:p>
    <w:p>
      <w:pPr>
        <w:pStyle w:val="ListBullet"/>
      </w:pPr>
      <w:r>
        <w:t>524 contracts: the engine reproduces the published Part C summary within half a star for 98.1% and exactly for 78.1%.</w:t>
      </w:r>
    </w:p>
    <w:p>
      <w:pPr>
        <w:pStyle w:val="ListBullet"/>
      </w:pPr>
      <w:r>
        <w:t>Not modelled: categorical adjustment index and reward factor (explains the small positive gap).</w:t>
      </w:r>
    </w:p>
    <w:p>
      <w:pPr>
        <w:pStyle w:val="ListBullet"/>
      </w:pPr>
      <w:r>
        <w:t>32.4% of MA contracts are rated 3.5 stars (the only ones one boundary crossing can lift to 4.0).</w:t>
      </w:r>
    </w:p>
    <w:p>
      <w:pPr>
        <w:pStyle w:val="Heading1"/>
      </w:pPr>
      <w:r>
        <w:t>4. Which assumption matters most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Provenance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At Low 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At High 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Swing Usd</w:t>
            </w:r>
          </w:p>
        </w:tc>
      </w:tr>
      <w:tr>
        <w:tc>
          <w:tcPr>
            <w:tcW w:type="dxa" w:w="1728"/>
          </w:tcPr>
          <w:p>
            <w:r>
              <w:t>eligible_share (diabetes / hypertension)</w:t>
            </w:r>
          </w:p>
        </w:tc>
        <w:tc>
          <w:tcPr>
            <w:tcW w:type="dxa" w:w="1728"/>
          </w:tcPr>
          <w:p>
            <w:r>
              <w:t>Public source (CMS/KFF)</w:t>
            </w:r>
          </w:p>
        </w:tc>
        <w:tc>
          <w:tcPr>
            <w:tcW w:type="dxa" w:w="1728"/>
          </w:tcPr>
          <w:p>
            <w:r>
              <w:t>131.4515</w:t>
            </w:r>
          </w:p>
        </w:tc>
        <w:tc>
          <w:tcPr>
            <w:tcW w:type="dxa" w:w="1728"/>
          </w:tcPr>
          <w:p>
            <w:r>
              <w:t>200.8712</w:t>
            </w:r>
          </w:p>
        </w:tc>
        <w:tc>
          <w:tcPr>
            <w:tcW w:type="dxa" w:w="1728"/>
          </w:tcPr>
          <w:p>
            <w:r>
              <w:t>69.4197</w:t>
            </w:r>
          </w:p>
        </w:tc>
      </w:tr>
      <w:tr>
        <w:tc>
          <w:tcPr>
            <w:tcW w:type="dxa" w:w="1728"/>
          </w:tcPr>
          <w:p>
            <w:r>
              <w:t>qbp_per_enrollee_year</w:t>
            </w:r>
          </w:p>
        </w:tc>
        <w:tc>
          <w:tcPr>
            <w:tcW w:type="dxa" w:w="1728"/>
          </w:tcPr>
          <w:p>
            <w:r>
              <w:t>Public source (CMS/KFF)</w:t>
            </w:r>
          </w:p>
        </w:tc>
        <w:tc>
          <w:tcPr>
            <w:tcW w:type="dxa" w:w="1728"/>
          </w:tcPr>
          <w:p>
            <w:r>
              <w:t>131.1576</w:t>
            </w:r>
          </w:p>
        </w:tc>
        <w:tc>
          <w:tcPr>
            <w:tcW w:type="dxa" w:w="1728"/>
          </w:tcPr>
          <w:p>
            <w:r>
              <w:t>192.1995</w:t>
            </w:r>
          </w:p>
        </w:tc>
        <w:tc>
          <w:tcPr>
            <w:tcW w:type="dxa" w:w="1728"/>
          </w:tcPr>
          <w:p>
            <w:r>
              <w:t>61.0419</w:t>
            </w:r>
          </w:p>
        </w:tc>
      </w:tr>
      <w:tr>
        <w:tc>
          <w:tcPr>
            <w:tcW w:type="dxa" w:w="1728"/>
          </w:tcPr>
          <w:p>
            <w:r>
              <w:t>rho_boundary_density (CMS 2026 data)</w:t>
            </w:r>
          </w:p>
        </w:tc>
        <w:tc>
          <w:tcPr>
            <w:tcW w:type="dxa" w:w="1728"/>
          </w:tcPr>
          <w:p>
            <w:r>
              <w:t>Public data, computed (CMS 2026 Star Ratings)</w:t>
            </w:r>
          </w:p>
        </w:tc>
        <w:tc>
          <w:tcPr>
            <w:tcW w:type="dxa" w:w="1728"/>
          </w:tcPr>
          <w:p>
            <w:r>
              <w:t>146.3134</w:t>
            </w:r>
          </w:p>
        </w:tc>
        <w:tc>
          <w:tcPr>
            <w:tcW w:type="dxa" w:w="1728"/>
          </w:tcPr>
          <w:p>
            <w:r>
              <w:t>166.3828</w:t>
            </w:r>
          </w:p>
        </w:tc>
        <w:tc>
          <w:tcPr>
            <w:tcW w:type="dxa" w:w="1728"/>
          </w:tcPr>
          <w:p>
            <w:r>
              <w:t>20.0694</w:t>
            </w:r>
          </w:p>
        </w:tc>
      </w:tr>
    </w:tbl>
    <w:p>
      <w:pPr>
        <w:pStyle w:val="Heading1"/>
      </w:pPr>
      <w:r>
        <w:t>5. A plan's own eligible share</w:t>
      </w:r>
    </w:p>
    <w:p>
      <w:r>
        <w:t>The model accepts a plan-supplied share (plan_eligible_share in the configuration, for example diabetes 0.40 for an SNP-heavy plan). A larger share dilutes each closure, so value falls and the break-even lift rises by the scale shown. Mean over the treated gap mix, base QBP and boundary density.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Eligible Share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Usd Per Closure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Break Even Scale</w:t>
            </w:r>
          </w:p>
        </w:tc>
      </w:tr>
      <w:tr>
        <w:tc>
          <w:tcPr>
            <w:tcW w:type="dxa" w:w="2160"/>
          </w:tcPr>
          <w:p>
            <w:r>
              <w:t>diabetes</w:t>
            </w:r>
          </w:p>
        </w:tc>
        <w:tc>
          <w:tcPr>
            <w:tcW w:type="dxa" w:w="2160"/>
          </w:tcPr>
          <w:p>
            <w:r>
              <w:t>0.2000</w:t>
            </w:r>
          </w:p>
        </w:tc>
        <w:tc>
          <w:tcPr>
            <w:tcW w:type="dxa" w:w="2160"/>
          </w:tcPr>
          <w:p>
            <w:r>
              <w:t>194.0454</w:t>
            </w:r>
          </w:p>
        </w:tc>
        <w:tc>
          <w:tcPr>
            <w:tcW w:type="dxa" w:w="2160"/>
          </w:tcPr>
          <w:p>
            <w:r>
              <w:t>0.8098</w:t>
            </w:r>
          </w:p>
        </w:tc>
      </w:tr>
      <w:tr>
        <w:tc>
          <w:tcPr>
            <w:tcW w:type="dxa" w:w="2160"/>
          </w:tcPr>
          <w:p>
            <w:r>
              <w:t>diabetes</w:t>
            </w:r>
          </w:p>
        </w:tc>
        <w:tc>
          <w:tcPr>
            <w:tcW w:type="dxa" w:w="2160"/>
          </w:tcPr>
          <w:p>
            <w:r>
              <w:t>0.2600</w:t>
            </w:r>
          </w:p>
        </w:tc>
        <w:tc>
          <w:tcPr>
            <w:tcW w:type="dxa" w:w="2160"/>
          </w:tcPr>
          <w:p>
            <w:r>
              <w:t>157.1416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</w:tr>
      <w:tr>
        <w:tc>
          <w:tcPr>
            <w:tcW w:type="dxa" w:w="2160"/>
          </w:tcPr>
          <w:p>
            <w:r>
              <w:t>diabetes</w:t>
            </w:r>
          </w:p>
        </w:tc>
        <w:tc>
          <w:tcPr>
            <w:tcW w:type="dxa" w:w="2160"/>
          </w:tcPr>
          <w:p>
            <w:r>
              <w:t>0.3200</w:t>
            </w:r>
          </w:p>
        </w:tc>
        <w:tc>
          <w:tcPr>
            <w:tcW w:type="dxa" w:w="2160"/>
          </w:tcPr>
          <w:p>
            <w:r>
              <w:t>134.0768</w:t>
            </w:r>
          </w:p>
        </w:tc>
        <w:tc>
          <w:tcPr>
            <w:tcW w:type="dxa" w:w="2160"/>
          </w:tcPr>
          <w:p>
            <w:r>
              <w:t>1.1720</w:t>
            </w:r>
          </w:p>
        </w:tc>
      </w:tr>
      <w:tr>
        <w:tc>
          <w:tcPr>
            <w:tcW w:type="dxa" w:w="2160"/>
          </w:tcPr>
          <w:p>
            <w:r>
              <w:t>diabetes</w:t>
            </w:r>
          </w:p>
        </w:tc>
        <w:tc>
          <w:tcPr>
            <w:tcW w:type="dxa" w:w="2160"/>
          </w:tcPr>
          <w:p>
            <w:r>
              <w:t>0.4000</w:t>
            </w:r>
          </w:p>
        </w:tc>
        <w:tc>
          <w:tcPr>
            <w:tcW w:type="dxa" w:w="2160"/>
          </w:tcPr>
          <w:p>
            <w:r>
              <w:t>114.0873</w:t>
            </w:r>
          </w:p>
        </w:tc>
        <w:tc>
          <w:tcPr>
            <w:tcW w:type="dxa" w:w="2160"/>
          </w:tcPr>
          <w:p>
            <w:r>
              <w:t>1.3774</w:t>
            </w:r>
          </w:p>
        </w:tc>
      </w:tr>
      <w:tr>
        <w:tc>
          <w:tcPr>
            <w:tcW w:type="dxa" w:w="2160"/>
          </w:tcPr>
          <w:p>
            <w:r>
              <w:t>diabetes</w:t>
            </w:r>
          </w:p>
        </w:tc>
        <w:tc>
          <w:tcPr>
            <w:tcW w:type="dxa" w:w="2160"/>
          </w:tcPr>
          <w:p>
            <w:r>
              <w:t>0.5000</w:t>
            </w:r>
          </w:p>
        </w:tc>
        <w:tc>
          <w:tcPr>
            <w:tcW w:type="dxa" w:w="2160"/>
          </w:tcPr>
          <w:p>
            <w:r>
              <w:t>98.0956</w:t>
            </w:r>
          </w:p>
        </w:tc>
        <w:tc>
          <w:tcPr>
            <w:tcW w:type="dxa" w:w="2160"/>
          </w:tcPr>
          <w:p>
            <w:r>
              <w:t>1.6019</w:t>
            </w:r>
          </w:p>
        </w:tc>
      </w:tr>
    </w:tbl>
    <w:p>
      <w:pPr>
        <w:pStyle w:val="Heading1"/>
      </w:pPr>
      <w:r>
        <w:t>6. Value by contract star position</w:t>
      </w:r>
    </w:p>
    <w:p>
      <w:pPr>
        <w:pStyle w:val="ListBullet"/>
      </w:pPr>
      <w:r>
        <w:t>The headline averages over all 524 rated contracts. A plan faces its own position, and the value is concentrated: only a contract rated 3.5 stars can be lifted over the 4-star QBP boundary through a measure.</w:t>
      </w:r>
    </w:p>
    <w:p>
      <w:pPr>
        <w:pStyle w:val="ListBullet"/>
      </w:pPr>
      <w:r>
        <w:t>Contracts rated 3.0 or less, 4.0 or more, or 3.5 with the measure far from its next cut point get $0 from this route. A 3.5-star contract with the measure near a cut point gets about six times the average.</w:t>
      </w:r>
    </w:p>
    <w:p>
      <w:pPr>
        <w:pStyle w:val="ListBullet"/>
      </w:pPr>
      <w:r>
        <w:t>Not modelled: a 4.0-star contract near its lower edge protecting its bonus (downside). It would add value for that position. The raw rating inside a half-star band is not published, so it is assumed uniform.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 Contracts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Diab Eye Exam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Diab Nephro Screen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Diab A1c Test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Diab Blood Sugar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Htn Pcp Followup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Mean Over Gap Mix</w:t>
            </w:r>
          </w:p>
        </w:tc>
      </w:tr>
      <w:tr>
        <w:tc>
          <w:tcPr>
            <w:tcW w:type="dxa" w:w="1080"/>
          </w:tcPr>
          <w:p>
            <w:r>
              <w:t>all_contracts</w:t>
            </w:r>
          </w:p>
        </w:tc>
        <w:tc>
          <w:tcPr>
            <w:tcW w:type="dxa" w:w="1080"/>
          </w:tcPr>
          <w:p>
            <w:r>
              <w:t>523</w:t>
            </w:r>
          </w:p>
        </w:tc>
        <w:tc>
          <w:tcPr>
            <w:tcW w:type="dxa" w:w="1080"/>
          </w:tcPr>
          <w:p>
            <w:r>
              <w:t>143.9000</w:t>
            </w:r>
          </w:p>
        </w:tc>
        <w:tc>
          <w:tcPr>
            <w:tcW w:type="dxa" w:w="1080"/>
          </w:tcPr>
          <w:p>
            <w:r>
              <w:t>111.2000</w:t>
            </w:r>
          </w:p>
        </w:tc>
        <w:tc>
          <w:tcPr>
            <w:tcW w:type="dxa" w:w="1080"/>
          </w:tcPr>
          <w:p>
            <w:r>
              <w:t>303.0000</w:t>
            </w:r>
          </w:p>
        </w:tc>
        <w:tc>
          <w:tcPr>
            <w:tcW w:type="dxa" w:w="1080"/>
          </w:tcPr>
          <w:p>
            <w:r>
              <w:t>303.0000</w:t>
            </w:r>
          </w:p>
        </w:tc>
        <w:tc>
          <w:tcPr>
            <w:tcW w:type="dxa" w:w="1080"/>
          </w:tcPr>
          <w:p>
            <w:r>
              <w:t>238.9000</w:t>
            </w:r>
          </w:p>
        </w:tc>
        <w:tc>
          <w:tcPr>
            <w:tcW w:type="dxa" w:w="1080"/>
          </w:tcPr>
          <w:p>
            <w:r>
              <w:t>157.1000</w:t>
            </w:r>
          </w:p>
        </w:tc>
      </w:tr>
      <w:tr>
        <w:tc>
          <w:tcPr>
            <w:tcW w:type="dxa" w:w="1080"/>
          </w:tcPr>
          <w:p>
            <w:r>
              <w:t>rated_3.0_or_less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rated_3.5</w:t>
            </w:r>
          </w:p>
        </w:tc>
        <w:tc>
          <w:tcPr>
            <w:tcW w:type="dxa" w:w="1080"/>
          </w:tcPr>
          <w:p>
            <w:r>
              <w:t>170</w:t>
            </w:r>
          </w:p>
        </w:tc>
        <w:tc>
          <w:tcPr>
            <w:tcW w:type="dxa" w:w="1080"/>
          </w:tcPr>
          <w:p>
            <w:r>
              <w:t>442.8000</w:t>
            </w:r>
          </w:p>
        </w:tc>
        <w:tc>
          <w:tcPr>
            <w:tcW w:type="dxa" w:w="1080"/>
          </w:tcPr>
          <w:p>
            <w:r>
              <w:t>341.4000</w:t>
            </w:r>
          </w:p>
        </w:tc>
        <w:tc>
          <w:tcPr>
            <w:tcW w:type="dxa" w:w="1080"/>
          </w:tcPr>
          <w:p>
            <w:r>
              <w:t>932.1000</w:t>
            </w:r>
          </w:p>
        </w:tc>
        <w:tc>
          <w:tcPr>
            <w:tcW w:type="dxa" w:w="1080"/>
          </w:tcPr>
          <w:p>
            <w:r>
              <w:t>932.1000</w:t>
            </w:r>
          </w:p>
        </w:tc>
        <w:tc>
          <w:tcPr>
            <w:tcW w:type="dxa" w:w="1080"/>
          </w:tcPr>
          <w:p>
            <w:r>
              <w:t>713.9000</w:t>
            </w:r>
          </w:p>
        </w:tc>
        <w:tc>
          <w:tcPr>
            <w:tcW w:type="dxa" w:w="1080"/>
          </w:tcPr>
          <w:p>
            <w:r>
              <w:t>480.3000</w:t>
            </w:r>
          </w:p>
        </w:tc>
      </w:tr>
      <w:tr>
        <w:tc>
          <w:tcPr>
            <w:tcW w:type="dxa" w:w="1080"/>
          </w:tcPr>
          <w:p>
            <w:r>
              <w:t>rated_3.5_measure_near_cut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1,327</w:t>
            </w:r>
          </w:p>
        </w:tc>
        <w:tc>
          <w:tcPr>
            <w:tcW w:type="dxa" w:w="1080"/>
          </w:tcPr>
          <w:p>
            <w:r>
              <w:t>1,383</w:t>
            </w:r>
          </w:p>
        </w:tc>
        <w:tc>
          <w:tcPr>
            <w:tcW w:type="dxa" w:w="1080"/>
          </w:tcPr>
          <w:p>
            <w:r>
              <w:t>1,802</w:t>
            </w:r>
          </w:p>
        </w:tc>
        <w:tc>
          <w:tcPr>
            <w:tcW w:type="dxa" w:w="1080"/>
          </w:tcPr>
          <w:p>
            <w:r>
              <w:t>1,802</w:t>
            </w:r>
          </w:p>
        </w:tc>
        <w:tc>
          <w:tcPr>
            <w:tcW w:type="dxa" w:w="1080"/>
          </w:tcPr>
          <w:p>
            <w:r>
              <w:t>1,447</w:t>
            </w:r>
          </w:p>
        </w:tc>
        <w:tc>
          <w:tcPr>
            <w:tcW w:type="dxa" w:w="1080"/>
          </w:tcPr>
          <w:p>
            <w:r>
              <w:t>1,108</w:t>
            </w:r>
          </w:p>
        </w:tc>
      </w:tr>
      <w:tr>
        <w:tc>
          <w:tcPr>
            <w:tcW w:type="dxa" w:w="1080"/>
          </w:tcPr>
          <w:p>
            <w:r>
              <w:t>rated_3.5_measure_far_from_cut</w:t>
            </w:r>
          </w:p>
        </w:tc>
        <w:tc>
          <w:tcPr>
            <w:tcW w:type="dxa" w:w="1080"/>
          </w:tcPr>
          <w:p>
            <w:r>
              <w:t>138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rated_4.0_or_more</w:t>
            </w:r>
          </w:p>
        </w:tc>
        <w:tc>
          <w:tcPr>
            <w:tcW w:type="dxa" w:w="1080"/>
          </w:tcPr>
          <w:p>
            <w:r>
              <w:t>233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>
      <w:pPr>
        <w:pStyle w:val="Heading1"/>
      </w:pPr>
      <w:r>
        <w:t>7. InComm metadata versus CMS 2026</w:t>
      </w:r>
    </w:p>
    <w:p>
      <w:r>
        <w:t>InComm's StarsWeight differs from CMS's 2026 weight for eye exam and kidney screening, and COPD spirometry and BH follow-up feed no 2026 Part C measure. The model uses CMS's weights.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Caregapcode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Hedismeasureid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Starsweight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Cms Measure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Cms 2026 Weight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BH_POST_DISCHARGE_7D</w:t>
            </w:r>
          </w:p>
        </w:tc>
        <w:tc>
          <w:tcPr>
            <w:tcW w:type="dxa" w:w="1440"/>
          </w:tcPr>
          <w:p>
            <w:r>
              <w:t>FUH-7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not a 2026 Part C Star measure</w:t>
            </w:r>
          </w:p>
        </w:tc>
      </w:tr>
      <w:tr>
        <w:tc>
          <w:tcPr>
            <w:tcW w:type="dxa" w:w="1440"/>
          </w:tcPr>
          <w:p>
            <w:r>
              <w:t>COPD_SPIROMETRY</w:t>
            </w:r>
          </w:p>
        </w:tc>
        <w:tc>
          <w:tcPr>
            <w:tcW w:type="dxa" w:w="1440"/>
          </w:tcPr>
          <w:p>
            <w:r>
              <w:t>SPR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not a 2026 Part C Star measure</w:t>
            </w:r>
          </w:p>
        </w:tc>
      </w:tr>
      <w:tr>
        <w:tc>
          <w:tcPr>
            <w:tcW w:type="dxa" w:w="1440"/>
          </w:tcPr>
          <w:p>
            <w:r>
              <w:t>DIAB_A1C_TEST</w:t>
            </w:r>
          </w:p>
        </w:tc>
        <w:tc>
          <w:tcPr>
            <w:tcW w:type="dxa" w:w="1440"/>
          </w:tcPr>
          <w:p>
            <w:r>
              <w:t>CDC-A1C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C12</w:t>
            </w:r>
          </w:p>
        </w:tc>
        <w:tc>
          <w:tcPr>
            <w:tcW w:type="dxa" w:w="1440"/>
          </w:tcPr>
          <w:p>
            <w:r>
              <w:t>3.0000</w:t>
            </w:r>
          </w:p>
        </w:tc>
        <w:tc>
          <w:tcPr>
            <w:tcW w:type="dxa" w:w="1440"/>
          </w:tcPr>
          <w:p>
            <w:r>
              <w:t>matches</w:t>
            </w:r>
          </w:p>
        </w:tc>
      </w:tr>
      <w:tr>
        <w:tc>
          <w:tcPr>
            <w:tcW w:type="dxa" w:w="1440"/>
          </w:tcPr>
          <w:p>
            <w:r>
              <w:t>DIAB_BLOOD_SUGAR</w:t>
            </w:r>
          </w:p>
        </w:tc>
        <w:tc>
          <w:tcPr>
            <w:tcW w:type="dxa" w:w="1440"/>
          </w:tcPr>
          <w:p>
            <w:r>
              <w:t>CDC-A1C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C12</w:t>
            </w:r>
          </w:p>
        </w:tc>
        <w:tc>
          <w:tcPr>
            <w:tcW w:type="dxa" w:w="1440"/>
          </w:tcPr>
          <w:p>
            <w:r>
              <w:t>3.0000</w:t>
            </w:r>
          </w:p>
        </w:tc>
        <w:tc>
          <w:tcPr>
            <w:tcW w:type="dxa" w:w="1440"/>
          </w:tcPr>
          <w:p>
            <w:r>
              <w:t>matches</w:t>
            </w:r>
          </w:p>
        </w:tc>
      </w:tr>
      <w:tr>
        <w:tc>
          <w:tcPr>
            <w:tcW w:type="dxa" w:w="1440"/>
          </w:tcPr>
          <w:p>
            <w:r>
              <w:t>DIAB_EYE_EXAM</w:t>
            </w:r>
          </w:p>
        </w:tc>
        <w:tc>
          <w:tcPr>
            <w:tcW w:type="dxa" w:w="1440"/>
          </w:tcPr>
          <w:p>
            <w:r>
              <w:t>CDC-EYE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C11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InComm weight differs from CMS</w:t>
            </w:r>
          </w:p>
        </w:tc>
      </w:tr>
      <w:tr>
        <w:tc>
          <w:tcPr>
            <w:tcW w:type="dxa" w:w="1440"/>
          </w:tcPr>
          <w:p>
            <w:r>
              <w:t>DIAB_NEPHRO_SCREEN</w:t>
            </w:r>
          </w:p>
        </w:tc>
        <w:tc>
          <w:tcPr>
            <w:tcW w:type="dxa" w:w="1440"/>
          </w:tcPr>
          <w:p>
            <w:r>
              <w:t>KED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C13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InComm weight differs from CMS</w:t>
            </w:r>
          </w:p>
        </w:tc>
      </w:tr>
      <w:tr>
        <w:tc>
          <w:tcPr>
            <w:tcW w:type="dxa" w:w="1440"/>
          </w:tcPr>
          <w:p>
            <w:r>
              <w:t>HTN_PCP_FOLLOWUP</w:t>
            </w:r>
          </w:p>
        </w:tc>
        <w:tc>
          <w:tcPr>
            <w:tcW w:type="dxa" w:w="1440"/>
          </w:tcPr>
          <w:p>
            <w:r>
              <w:t>CBP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C14</w:t>
            </w:r>
          </w:p>
        </w:tc>
        <w:tc>
          <w:tcPr>
            <w:tcW w:type="dxa" w:w="1440"/>
          </w:tcPr>
          <w:p>
            <w:r>
              <w:t>3.0000</w:t>
            </w:r>
          </w:p>
        </w:tc>
        <w:tc>
          <w:tcPr>
            <w:tcW w:type="dxa" w:w="1440"/>
          </w:tcPr>
          <w:p>
            <w:r>
              <w:t>matches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