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PRESTON &amp; BARBIERI S.r.l.</w:t>
      </w:r>
    </w:p>
    <w:p>
      <w:r>
        <w:t>Via Cocchi, 19 – 42124 Reggio Emilia – Italy</w:t>
      </w:r>
      <w:r>
        <w:br/>
      </w:r>
      <w:r>
        <w:t>Tel. +39 0522 925211 – info@prestonbarbieri.com – www.prestonbarbieri.com</w:t>
      </w:r>
    </w:p>
    <w:p>
      <w:r>
        <w:rPr>
          <w:b/>
        </w:rPr>
        <w:t>Offer No.:</w:t>
      </w:r>
      <w:r>
        <w:t xml:space="preserve"> [OFFER No. – to be assigned]</w:t>
      </w:r>
      <w:r>
        <w:br/>
      </w:r>
      <w:r>
        <w:rPr>
          <w:b/>
        </w:rPr>
        <w:t>Date:</w:t>
      </w:r>
      <w:r>
        <w:t xml:space="preserve"> [DATE]</w:t>
      </w:r>
      <w:r>
        <w:br/>
      </w:r>
      <w:r>
        <w:rPr>
          <w:b/>
        </w:rPr>
        <w:t>Our reference:</w:t>
      </w:r>
      <w:r>
        <w:t xml:space="preserve"> Job FS-11-17 – Flying Swinger "Volaré" 64 seats</w:t>
      </w:r>
      <w:r>
        <w:br/>
      </w:r>
      <w:r>
        <w:rPr>
          <w:b/>
        </w:rPr>
        <w:t>Your reference:</w:t>
      </w:r>
      <w:r>
        <w:t xml:space="preserve"> [CUSTOMER REF.]</w:t>
      </w:r>
    </w:p>
    <w:p>
      <w:r>
        <w:rPr>
          <w:b/>
        </w:rPr>
        <w:t>To:</w:t>
      </w:r>
      <w:r>
        <w:br/>
      </w:r>
      <w:r>
        <w:t>Luna Park Sydney</w:t>
      </w:r>
      <w:r>
        <w:br/>
      </w:r>
      <w:r>
        <w:t>1 Olympic Drive, Milsons Point NSW 2061</w:t>
      </w:r>
      <w:r>
        <w:br/>
      </w:r>
      <w:r>
        <w:t>Australia</w:t>
      </w:r>
      <w:r>
        <w:br/>
      </w:r>
      <w:r>
        <w:rPr>
          <w:b/>
        </w:rPr>
        <w:t>Attn.:</w:t>
      </w:r>
      <w:r>
        <w:t xml:space="preserve"> [CONTACT NAME – TECHNICAL / PURCHASING MANAGER]</w:t>
      </w:r>
    </w:p>
    <w:p>
      <w:pPr>
        <w:pStyle w:val="Heading2"/>
      </w:pPr>
      <w:r>
        <w:t>Subject: Quotation for the supply of a new Control System for Flying Swinger "Volaré" (Job FS-11-17)</w:t>
      </w:r>
    </w:p>
    <w:p>
      <w:r>
        <w:t>Dear Sirs,</w:t>
      </w:r>
    </w:p>
    <w:p>
      <w:r>
        <w:t xml:space="preserve">Further to your enquiry, we are pleased to submit our best offer for the design, manufacture, supply and commissioning of a </w:t>
      </w:r>
      <w:r>
        <w:rPr>
          <w:b/>
        </w:rPr>
        <w:t>new complete control system</w:t>
      </w:r>
      <w:r>
        <w:t xml:space="preserve"> for the Flying Swinger ride </w:t>
      </w:r>
      <w:r>
        <w:rPr>
          <w:b/>
        </w:rPr>
        <w:t>"Volaré"</w:t>
      </w:r>
      <w:r>
        <w:t xml:space="preserve"> (our job FS-11-17, 64 seats), installed at Luna Park Sydney, Milsons Point NSW, Australia.</w:t>
      </w:r>
    </w:p>
    <w:p>
      <w:r>
        <w:t xml:space="preserve">The new control system is designed as a direct replacement of the existing installation (electrical project FS11_17_AUS, year 2018) and complies with the latest editions of the applicable standards for amusement rides, namely </w:t>
      </w:r>
      <w:r>
        <w:rPr>
          <w:b/>
        </w:rPr>
        <w:t>EN 13814</w:t>
      </w:r>
      <w:r>
        <w:t xml:space="preserve">, </w:t>
      </w:r>
      <w:r>
        <w:rPr>
          <w:b/>
        </w:rPr>
        <w:t>EN 60204-1</w:t>
      </w:r>
      <w:r>
        <w:t xml:space="preserve">, </w:t>
      </w:r>
      <w:r>
        <w:rPr>
          <w:b/>
        </w:rPr>
        <w:t>EN ISO 13849-1</w:t>
      </w:r>
      <w:r>
        <w:t xml:space="preserve"> and, as applicable to the installation site, </w:t>
      </w:r>
      <w:r>
        <w:rPr>
          <w:b/>
        </w:rPr>
        <w:t>AS 3533.1 / AS 3533.2</w:t>
      </w:r>
      <w:r>
        <w:t xml:space="preserve"> (Australia).</w:t>
      </w:r>
    </w:p>
    <w:p>
      <w:pPr>
        <w:pStyle w:val="Heading2"/>
      </w:pPr>
      <w:r>
        <w:t>1. Reference data of the existing installation</w:t>
      </w:r>
    </w:p>
    <w:p>
      <w:pPr>
        <w:pStyle w:val="ListBullet"/>
      </w:pPr>
      <w:r>
        <w:t>Supply: 400 V + N, 50 Hz – required power 90 kW – main switch 160 A, Icc 25 kA – control voltage 24 V dc.</w:t>
      </w:r>
    </w:p>
    <w:p>
      <w:pPr>
        <w:pStyle w:val="ListBullet"/>
      </w:pPr>
      <w:r>
        <w:t>Drives: pole rotation motor 15 kW (inverter duty, with braking resistor), roof rotation motor 30 kW (inverter duty, with braking resistor, supplied through slip-ring collector), hydraulic pump motor 37 kW (soft starter), heat-exchanger fan 0.5 kW, oil heater 0.6 kW.</w:t>
      </w:r>
    </w:p>
    <w:p>
      <w:pPr>
        <w:pStyle w:val="ListBullet"/>
      </w:pPr>
      <w:r>
        <w:t>Hydraulic power unit (lifting/tilting): proportional directional valve (±10 V reference), No. 7 on/off solenoid valves 24 V dc, No. 3 pressure switches, No. 2 pressure transducers 4–20 mA, oil temperature and level monitoring, emergency descent circuit.</w:t>
      </w:r>
    </w:p>
    <w:p>
      <w:pPr>
        <w:pStyle w:val="ListBullet"/>
      </w:pPr>
      <w:r>
        <w:t>Safety functions: emergency stop, dual-channel cycle start, motor brakes control, restraint (seat belts / lap-bars) monitoring with belt-opening interlock, over-speed and minimum-speed monitoring, Safe Torque Off on both rotation drives, emergency descent by gravity.</w:t>
      </w:r>
    </w:p>
    <w:p>
      <w:pPr>
        <w:pStyle w:val="ListBullet"/>
      </w:pPr>
      <w:r>
        <w:t>Panels: main cabinet (1600×2100×600, IP56 outdoor), operator control console, hydraulic unit distribution panel, base and column junction boxes, roof distribution panel with light transformers.</w:t>
      </w:r>
    </w:p>
    <w:p>
      <w:r>
        <w:t>The new control system will reproduce all existing ride functions and operating cycles, so that no re-training of operators beyond the commissioning training is required.</w:t>
      </w:r>
    </w:p>
    <w:p>
      <w:pPr>
        <w:pStyle w:val="Heading2"/>
      </w:pPr>
      <w:r>
        <w:t>2. Scope of Supply</w:t>
      </w:r>
    </w:p>
    <w:p>
      <w:pPr>
        <w:pStyle w:val="Heading3"/>
      </w:pPr>
      <w:r>
        <w:t>2.1 Main Control Cabinet (replacing existing QG)</w:t>
      </w:r>
    </w:p>
    <w:p>
      <w:pPr>
        <w:pStyle w:val="ListBullet"/>
      </w:pPr>
      <w:r>
        <w:t>New main electrical cabinet, painted steel construction, protection degree IP56, complete with anti-condensation heating and thermostatically controlled air-conditioning unit suitable for outdoor marine environment (Sydney Harbour location).</w:t>
      </w:r>
    </w:p>
    <w:p>
      <w:pPr>
        <w:pStyle w:val="ListBullet"/>
      </w:pPr>
      <w:r>
        <w:t xml:space="preserve">Safety PLC </w:t>
      </w:r>
      <w:r>
        <w:rPr>
          <w:b/>
        </w:rPr>
        <w:t>Siemens SIMATIC S7-1500F</w:t>
      </w:r>
      <w:r>
        <w:t xml:space="preserve"> series with fail-safe I/O, performing all ride control and safety functions (Performance Level "d", Cat. 3 acc. to EN ISO 13849-1). On request, a like-for-like architecture based on the original platform (Pilz PSS / Schneider) can be quoted as an alternative.</w:t>
      </w:r>
    </w:p>
    <w:p>
      <w:pPr>
        <w:pStyle w:val="ListBullet"/>
      </w:pPr>
      <w:r>
        <w:t>No. 2 variable frequency drives with Safe Torque Off and braking resistors:</w:t>
      </w:r>
    </w:p>
    <w:p>
      <w:pPr>
        <w:pStyle w:val="ListBullet2"/>
      </w:pPr>
      <w:r>
        <w:t>pole rotation: 15 kW class, braking resistor ≥5 kW;</w:t>
      </w:r>
    </w:p>
    <w:p>
      <w:pPr>
        <w:pStyle w:val="ListBullet2"/>
      </w:pPr>
      <w:r>
        <w:t>roof rotation: 30 kW class, braking resistor ≥10 kW.</w:t>
      </w:r>
    </w:p>
    <w:p>
      <w:pPr>
        <w:pStyle w:val="ListBullet"/>
      </w:pPr>
      <w:r>
        <w:t>Soft starter for the 37 kW hydraulic pump motor; motor starters for heat-exchanger fan and oil heater.</w:t>
      </w:r>
    </w:p>
    <w:p>
      <w:pPr>
        <w:pStyle w:val="ListBullet"/>
      </w:pPr>
      <w:r>
        <w:t>Main switch 160 A with undervoltage release, earth-leakage protection by external toroid and residual-current relay (0.3 A, &lt;40 ms), dedicated RCDs for light lines and service circuits, as per existing protection scheme.</w:t>
      </w:r>
    </w:p>
    <w:p>
      <w:pPr>
        <w:pStyle w:val="ListBullet"/>
      </w:pPr>
      <w:r>
        <w:t>Light-lines distribution section (roof, pole, fixed well, lap-bars lighting) with contactors and protections; interface to existing roof light transformers.</w:t>
      </w:r>
    </w:p>
    <w:p>
      <w:pPr>
        <w:pStyle w:val="ListBullet"/>
      </w:pPr>
      <w:r>
        <w:t>UPS for control circuits and safe ride stop / restraint release in case of mains failure; new 24 V dc regulated power supply.</w:t>
      </w:r>
    </w:p>
    <w:p>
      <w:pPr>
        <w:pStyle w:val="ListBullet"/>
      </w:pPr>
      <w:r>
        <w:t>Industrial VPN router for remote diagnostics and tele-assistance from our factory (replacing the existing teleservice unit), plus managed Ethernet switch for drives, HMI and PLC network.</w:t>
      </w:r>
    </w:p>
    <w:p>
      <w:pPr>
        <w:pStyle w:val="Heading3"/>
      </w:pPr>
      <w:r>
        <w:t>2.2 Operator Console (replacing existing console)</w:t>
      </w:r>
    </w:p>
    <w:p>
      <w:pPr>
        <w:pStyle w:val="ListBullet"/>
      </w:pPr>
      <w:r>
        <w:t>New operator control desk, IP66, outdoor rated, with:</w:t>
      </w:r>
    </w:p>
    <w:p>
      <w:pPr>
        <w:pStyle w:val="ListBullet2"/>
      </w:pPr>
      <w:r>
        <w:t>colour touch-screen HMI panel [12"] with ride status display, cycle selection, alarm list and event log, hour and cycle counters with scheduled-maintenance reminders (as per O&amp;M manual intervals) and exportable event history in support of the log book required by AS 3533.2, multi-language (English / Italian);</w:t>
      </w:r>
    </w:p>
    <w:p>
      <w:pPr>
        <w:pStyle w:val="ListBullet2"/>
      </w:pPr>
      <w:r>
        <w:t>hardwired devices reproducing the existing operating functions: emergency stop, dual-channel cycle start pushbuttons, key-operated emergency reset, key-operated emergency descent, restraint (safety belts) opening pushbutton, cycle stop pushbutton, horn, restraint/lap-bars status lamp;</w:t>
      </w:r>
    </w:p>
    <w:p>
      <w:pPr>
        <w:pStyle w:val="ListBullet2"/>
      </w:pPr>
      <w:r>
        <w:t>emergency stop devices acc. to EN ISO 13850.</w:t>
      </w:r>
    </w:p>
    <w:p>
      <w:pPr>
        <w:pStyle w:val="Heading3"/>
      </w:pPr>
      <w:r>
        <w:t>2.3 Hydraulic Power Unit Interface and Field Equipment</w:t>
      </w:r>
    </w:p>
    <w:p>
      <w:pPr>
        <w:pStyle w:val="ListBullet"/>
      </w:pPr>
      <w:r>
        <w:t>Complete control of the existing Power Hydraulik power unit (Phs3297): proportional valve reference (±10 V), No. 7 solenoid valve outputs, acquisition of No. 3 pressure switches, No. 2 pressure transducers (4–20 mA), oil temperature and level, filter clogging indicators; management of oil heater, cooling fan and emergency descent sequence.</w:t>
      </w:r>
    </w:p>
    <w:p>
      <w:pPr>
        <w:pStyle w:val="ListBullet"/>
      </w:pPr>
      <w:r>
        <w:t>New hydraulic unit distribution panel (replacing existing UB101).</w:t>
      </w:r>
    </w:p>
    <w:p>
      <w:pPr>
        <w:pStyle w:val="ListBullet"/>
      </w:pPr>
      <w:r>
        <w:t>Set of new position and speed detection devices on the rotation axes (encoder / proximity switches) as required by the safety functions; speed and over-speed monitoring implemented in the safety PLC.</w:t>
      </w:r>
    </w:p>
    <w:p>
      <w:pPr>
        <w:pStyle w:val="ListBullet"/>
      </w:pPr>
      <w:r>
        <w:t>Motor brakes control (base, pole, roof) and restraint belt-opening actuators control, maintaining the existing interlocking logic through the slip-ring collector.</w:t>
      </w:r>
    </w:p>
    <w:p>
      <w:pPr>
        <w:pStyle w:val="ListBullet"/>
      </w:pPr>
      <w:r>
        <w:t>Existing motors, brakes, hydraulic power unit, field sensors, junction boxes and power/signal cabling will be reused subject to inspection at site; new terminal boxes or cables, where found necessary, will be quoted separately.</w:t>
      </w:r>
    </w:p>
    <w:p>
      <w:pPr>
        <w:pStyle w:val="Heading3"/>
      </w:pPr>
      <w:r>
        <w:t>2.4 Software and Engineering</w:t>
      </w:r>
    </w:p>
    <w:p>
      <w:pPr>
        <w:pStyle w:val="ListBullet"/>
      </w:pPr>
      <w:r>
        <w:t>Complete new PLC and HMI application software, developed and tested by Preston &amp; Barbieri; ride cycles and operating parameters as per original ride design (Job FS-11-17).</w:t>
      </w:r>
    </w:p>
    <w:p>
      <w:pPr>
        <w:pStyle w:val="ListBullet"/>
      </w:pPr>
      <w:r>
        <w:t>Safety-related software functions validated acc. to EN ISO 13849-1 / -2.</w:t>
      </w:r>
    </w:p>
    <w:p>
      <w:pPr>
        <w:pStyle w:val="ListBullet"/>
      </w:pPr>
      <w:r>
        <w:t>Electrical design and schematics produced in EPLAN format.</w:t>
      </w:r>
    </w:p>
    <w:p>
      <w:pPr>
        <w:pStyle w:val="Heading3"/>
      </w:pPr>
      <w:r>
        <w:t>2.5 Documentation (in English)</w:t>
      </w:r>
    </w:p>
    <w:p>
      <w:pPr>
        <w:pStyle w:val="ListBullet"/>
      </w:pPr>
      <w:r>
        <w:t>Electrical wiring diagrams (as-built);</w:t>
      </w:r>
    </w:p>
    <w:p>
      <w:pPr>
        <w:pStyle w:val="ListBullet"/>
      </w:pPr>
      <w:r>
        <w:t xml:space="preserve">Control system operation and maintenance manual, including the </w:t>
      </w:r>
      <w:r>
        <w:rPr>
          <w:b/>
        </w:rPr>
        <w:t>scheduled maintenance plan</w:t>
      </w:r>
      <w:r>
        <w:t xml:space="preserve"> of the new control system (checks and intervals), suitable to support the Purchaser's log book and inspection duties under AS 3533.2;</w:t>
      </w:r>
    </w:p>
    <w:p>
      <w:pPr>
        <w:pStyle w:val="ListBullet"/>
      </w:pPr>
      <w:r>
        <w:t>Declaration of conformity of the supplied equipment;</w:t>
      </w:r>
    </w:p>
    <w:p>
      <w:pPr>
        <w:pStyle w:val="ListBullet"/>
      </w:pPr>
      <w:r>
        <w:t>FAT (Factory Acceptance Test) report;</w:t>
      </w:r>
    </w:p>
    <w:p>
      <w:pPr>
        <w:pStyle w:val="ListBullet"/>
      </w:pPr>
      <w:r>
        <w:t>Commissioning and test report (SAT).</w:t>
      </w:r>
    </w:p>
    <w:p>
      <w:pPr>
        <w:pStyle w:val="Heading3"/>
      </w:pPr>
      <w:r>
        <w:t>2.6 Services Included</w:t>
      </w:r>
    </w:p>
    <w:p>
      <w:pPr>
        <w:pStyle w:val="ListBullet"/>
      </w:pPr>
      <w:r>
        <w:t>Factory Acceptance Test (FAT) at our works in Reggio Emilia, Italy – customer's attendance welcome;</w:t>
      </w:r>
    </w:p>
    <w:p>
      <w:pPr>
        <w:pStyle w:val="ListBullet"/>
      </w:pPr>
      <w:r>
        <w:t>Packing suitable for [sea / air] freight;</w:t>
      </w:r>
    </w:p>
    <w:p>
      <w:pPr>
        <w:pStyle w:val="ListBullet"/>
      </w:pPr>
      <w:r>
        <w:t>Transport to site: [Incoterms 2020 – e.g. CIP Sydney / DAP Luna Park Sydney – TO BE DEFINED];</w:t>
      </w:r>
    </w:p>
    <w:p>
      <w:pPr>
        <w:pStyle w:val="ListBullet"/>
      </w:pPr>
      <w:r>
        <w:t>Supervision of installation, commissioning and testing at Luna Park Sydney by [No. 1 / No. 2] Preston &amp; Barbieri technician(s) for a period of [X] consecutive working days (travel and accommodation [included / excluded]);</w:t>
      </w:r>
    </w:p>
    <w:p>
      <w:pPr>
        <w:pStyle w:val="ListBullet"/>
      </w:pPr>
      <w:r>
        <w:t>Training of operation and maintenance personnel during commissioning ([1] day).</w:t>
      </w:r>
    </w:p>
    <w:p>
      <w:pPr>
        <w:pStyle w:val="Heading2"/>
      </w:pPr>
      <w:r>
        <w:t>3. Exclusions</w:t>
      </w:r>
    </w:p>
    <w:p>
      <w:r>
        <w:t>The following items are expressly excluded from our supply:</w:t>
      </w:r>
    </w:p>
    <w:p>
      <w:pPr>
        <w:pStyle w:val="ListBullet"/>
      </w:pPr>
      <w:r>
        <w:t>Disconnection, removal and disposal of the existing cabinets, console and wiring;</w:t>
      </w:r>
    </w:p>
    <w:p>
      <w:pPr>
        <w:pStyle w:val="ListBullet"/>
      </w:pPr>
      <w:r>
        <w:t>Mains power supply to the new cabinet and any upgrade of the site electrical infrastructure;</w:t>
      </w:r>
    </w:p>
    <w:p>
      <w:pPr>
        <w:pStyle w:val="ListBullet"/>
      </w:pPr>
      <w:r>
        <w:t>On-site electrical installation works, which shall be performed by a licensed electrical contractor acc. to AS/NZS 3000 under our supervision;</w:t>
      </w:r>
    </w:p>
    <w:p>
      <w:pPr>
        <w:pStyle w:val="ListBullet"/>
      </w:pPr>
      <w:r>
        <w:t>Overhaul or replacement of mechanical, structural and hydraulic components (motors, brakes, pump, valves, cylinders, hoses, slip-ring collector) — see Options;</w:t>
      </w:r>
    </w:p>
    <w:p>
      <w:pPr>
        <w:pStyle w:val="ListBullet"/>
      </w:pPr>
      <w:r>
        <w:t>Civil, structural and mechanical works of any kind;</w:t>
      </w:r>
    </w:p>
    <w:p>
      <w:pPr>
        <w:pStyle w:val="ListBullet"/>
      </w:pPr>
      <w:r>
        <w:t>Local certifications, registrations and inspections required by the Authorities of New South Wales (e.g. SafeWork NSW ride registration), which remain under the responsibility of the Purchaser; Preston &amp; Barbieri will provide the necessary technical documentation to support such processes;</w:t>
      </w:r>
    </w:p>
    <w:p>
      <w:pPr>
        <w:pStyle w:val="ListBullet"/>
      </w:pPr>
      <w:r>
        <w:t>Cranes, lifting equipment and scaffolding at site;</w:t>
      </w:r>
    </w:p>
    <w:p>
      <w:pPr>
        <w:pStyle w:val="ListBullet"/>
      </w:pPr>
      <w:r>
        <w:t>GST, import duties, customs charges and any other tax applicable in Australia;</w:t>
      </w:r>
    </w:p>
    <w:p>
      <w:pPr>
        <w:pStyle w:val="ListBullet"/>
      </w:pPr>
      <w:r>
        <w:t>Anything else not expressly mentioned under "Scope of Supply".</w:t>
      </w:r>
    </w:p>
    <w:p>
      <w:pPr>
        <w:pStyle w:val="Heading2"/>
      </w:pPr>
      <w:r>
        <w:t>4. Price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rPr>
                <w:b/>
              </w:rPr>
              <w:t>Pos.</w:t>
            </w:r>
          </w:p>
        </w:tc>
        <w:tc>
          <w:tcPr>
            <w:tcW w:type="dxa" w:w="3213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3213"/>
          </w:tcPr>
          <w:p>
            <w:r>
              <w:rPr>
                <w:b/>
              </w:rPr>
              <w:t>Price (EUR)</w:t>
            </w:r>
          </w:p>
        </w:tc>
      </w:tr>
      <w:tr>
        <w:tc>
          <w:tcPr>
            <w:tcW w:type="dxa" w:w="3213"/>
          </w:tcPr>
          <w:p>
            <w:r>
              <w:t>1</w:t>
            </w:r>
          </w:p>
        </w:tc>
        <w:tc>
          <w:tcPr>
            <w:tcW w:type="dxa" w:w="3213"/>
          </w:tcPr>
          <w:p>
            <w:r>
              <w:t>Main control cabinet complete with safety PLC, No. 2 VFDs with braking resistors, soft starter, switchgear, light-lines distribution, UPS, 24 V dc PSU and VPN router (item 2.1)</w:t>
            </w:r>
          </w:p>
        </w:tc>
        <w:tc>
          <w:tcPr>
            <w:tcW w:type="dxa" w:w="3213"/>
          </w:tcPr>
          <w:p>
            <w:r>
              <w:t>€ [_______]</w:t>
            </w:r>
          </w:p>
        </w:tc>
      </w:tr>
      <w:tr>
        <w:tc>
          <w:tcPr>
            <w:tcW w:type="dxa" w:w="3213"/>
          </w:tcPr>
          <w:p>
            <w:r>
              <w:t>2</w:t>
            </w:r>
          </w:p>
        </w:tc>
        <w:tc>
          <w:tcPr>
            <w:tcW w:type="dxa" w:w="3213"/>
          </w:tcPr>
          <w:p>
            <w:r>
              <w:t>Operator console with HMI (item 2.2)</w:t>
            </w:r>
          </w:p>
        </w:tc>
        <w:tc>
          <w:tcPr>
            <w:tcW w:type="dxa" w:w="3213"/>
          </w:tcPr>
          <w:p>
            <w:r>
              <w:t>€ [_______]</w:t>
            </w:r>
          </w:p>
        </w:tc>
      </w:tr>
      <w:tr>
        <w:tc>
          <w:tcPr>
            <w:tcW w:type="dxa" w:w="3213"/>
          </w:tcPr>
          <w:p>
            <w:r>
              <w:t>3</w:t>
            </w:r>
          </w:p>
        </w:tc>
        <w:tc>
          <w:tcPr>
            <w:tcW w:type="dxa" w:w="3213"/>
          </w:tcPr>
          <w:p>
            <w:r>
              <w:t>Hydraulic unit distribution panel and field equipment set (item 2.3)</w:t>
            </w:r>
          </w:p>
        </w:tc>
        <w:tc>
          <w:tcPr>
            <w:tcW w:type="dxa" w:w="3213"/>
          </w:tcPr>
          <w:p>
            <w:r>
              <w:t>€ [_______]</w:t>
            </w:r>
          </w:p>
        </w:tc>
      </w:tr>
      <w:tr>
        <w:tc>
          <w:tcPr>
            <w:tcW w:type="dxa" w:w="3213"/>
          </w:tcPr>
          <w:p>
            <w:r>
              <w:t>4</w:t>
            </w:r>
          </w:p>
        </w:tc>
        <w:tc>
          <w:tcPr>
            <w:tcW w:type="dxa" w:w="3213"/>
          </w:tcPr>
          <w:p>
            <w:r>
              <w:t>Application software, safety validation and engineering (item 2.4)</w:t>
            </w:r>
          </w:p>
        </w:tc>
        <w:tc>
          <w:tcPr>
            <w:tcW w:type="dxa" w:w="3213"/>
          </w:tcPr>
          <w:p>
            <w:r>
              <w:t>€ [_______]</w:t>
            </w:r>
          </w:p>
        </w:tc>
      </w:tr>
      <w:tr>
        <w:tc>
          <w:tcPr>
            <w:tcW w:type="dxa" w:w="3213"/>
          </w:tcPr>
          <w:p>
            <w:r>
              <w:t>5</w:t>
            </w:r>
          </w:p>
        </w:tc>
        <w:tc>
          <w:tcPr>
            <w:tcW w:type="dxa" w:w="3213"/>
          </w:tcPr>
          <w:p>
            <w:r>
              <w:t>Documentation package (item 2.5)</w:t>
            </w:r>
          </w:p>
        </w:tc>
        <w:tc>
          <w:tcPr>
            <w:tcW w:type="dxa" w:w="3213"/>
          </w:tcPr>
          <w:p>
            <w:r>
              <w:t>€ [_______]</w:t>
            </w:r>
          </w:p>
        </w:tc>
      </w:tr>
      <w:tr>
        <w:tc>
          <w:tcPr>
            <w:tcW w:type="dxa" w:w="3213"/>
          </w:tcPr>
          <w:p>
            <w:r>
              <w:t>6</w:t>
            </w:r>
          </w:p>
        </w:tc>
        <w:tc>
          <w:tcPr>
            <w:tcW w:type="dxa" w:w="3213"/>
          </w:tcPr>
          <w:p>
            <w:r>
              <w:t>FAT, packing and freight to Sydney [Incoterms] (item 2.6)</w:t>
            </w:r>
          </w:p>
        </w:tc>
        <w:tc>
          <w:tcPr>
            <w:tcW w:type="dxa" w:w="3213"/>
          </w:tcPr>
          <w:p>
            <w:r>
              <w:t>€ [_______]</w:t>
            </w:r>
          </w:p>
        </w:tc>
      </w:tr>
      <w:tr>
        <w:tc>
          <w:tcPr>
            <w:tcW w:type="dxa" w:w="3213"/>
          </w:tcPr>
          <w:p>
            <w:r>
              <w:t>7</w:t>
            </w:r>
          </w:p>
        </w:tc>
        <w:tc>
          <w:tcPr>
            <w:tcW w:type="dxa" w:w="3213"/>
          </w:tcPr>
          <w:p>
            <w:r>
              <w:t>Site commissioning, testing and training – [X] working days, [N] technician(s) (item 2.6)</w:t>
            </w:r>
          </w:p>
        </w:tc>
        <w:tc>
          <w:tcPr>
            <w:tcW w:type="dxa" w:w="3213"/>
          </w:tcPr>
          <w:p>
            <w:r>
              <w:t>€ [_______]</w:t>
            </w:r>
          </w:p>
        </w:tc>
      </w:tr>
      <w:tr>
        <w:tc>
          <w:tcPr>
            <w:tcW w:type="dxa" w:w="3213"/>
          </w:tcPr>
          <w:p/>
        </w:tc>
        <w:tc>
          <w:tcPr>
            <w:tcW w:type="dxa" w:w="3213"/>
          </w:tcPr>
          <w:p>
            <w:r>
              <w:rPr>
                <w:b/>
              </w:rPr>
              <w:t>TOTAL PRICE</w:t>
            </w:r>
          </w:p>
        </w:tc>
        <w:tc>
          <w:tcPr>
            <w:tcW w:type="dxa" w:w="3213"/>
          </w:tcPr>
          <w:p>
            <w:r>
              <w:rPr>
                <w:b/>
              </w:rPr>
              <w:t>€ [_______]</w:t>
            </w:r>
          </w:p>
        </w:tc>
      </w:tr>
    </w:tbl>
    <w:p/>
    <w:p>
      <w:r>
        <w:t>Prices are net, in EURO, [Incoterms 2020 – TO BE DEFINED], excluding any tax, duty or GST applicable in Australia.</w:t>
      </w:r>
    </w:p>
    <w:p>
      <w:pPr>
        <w:pStyle w:val="Heading3"/>
      </w:pPr>
      <w:r>
        <w:t>4.1 Options (not included in the total price)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rPr>
                <w:b/>
              </w:rPr>
              <w:t>Opt.</w:t>
            </w:r>
          </w:p>
        </w:tc>
        <w:tc>
          <w:tcPr>
            <w:tcW w:type="dxa" w:w="3213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3213"/>
          </w:tcPr>
          <w:p>
            <w:r>
              <w:rPr>
                <w:b/>
              </w:rPr>
              <w:t>Price (EUR)</w:t>
            </w:r>
          </w:p>
        </w:tc>
      </w:tr>
      <w:tr>
        <w:tc>
          <w:tcPr>
            <w:tcW w:type="dxa" w:w="3213"/>
          </w:tcPr>
          <w:p>
            <w:r>
              <w:t>A</w:t>
            </w:r>
          </w:p>
        </w:tc>
        <w:tc>
          <w:tcPr>
            <w:tcW w:type="dxa" w:w="3213"/>
          </w:tcPr>
          <w:p>
            <w:r>
              <w:t>Recommended spare parts package (PLC CPU, fail-safe I/O modules, HMI panel, one VFD, sensors set, solenoid valve coils)</w:t>
            </w:r>
          </w:p>
        </w:tc>
        <w:tc>
          <w:tcPr>
            <w:tcW w:type="dxa" w:w="3213"/>
          </w:tcPr>
          <w:p>
            <w:r>
              <w:t>€ [_______]</w:t>
            </w:r>
          </w:p>
        </w:tc>
      </w:tr>
      <w:tr>
        <w:tc>
          <w:tcPr>
            <w:tcW w:type="dxa" w:w="3213"/>
          </w:tcPr>
          <w:p>
            <w:r>
              <w:t>B</w:t>
            </w:r>
          </w:p>
        </w:tc>
        <w:tc>
          <w:tcPr>
            <w:tcW w:type="dxa" w:w="3213"/>
          </w:tcPr>
          <w:p>
            <w:r>
              <w:t>Overhaul of the slip-ring collector (new brushes, cleaning, insulation test) during commissioning shutdown</w:t>
            </w:r>
          </w:p>
        </w:tc>
        <w:tc>
          <w:tcPr>
            <w:tcW w:type="dxa" w:w="3213"/>
          </w:tcPr>
          <w:p>
            <w:r>
              <w:t>€ [_______]</w:t>
            </w:r>
          </w:p>
        </w:tc>
      </w:tr>
      <w:tr>
        <w:tc>
          <w:tcPr>
            <w:tcW w:type="dxa" w:w="3213"/>
          </w:tcPr>
          <w:p>
            <w:r>
              <w:t>C</w:t>
            </w:r>
          </w:p>
        </w:tc>
        <w:tc>
          <w:tcPr>
            <w:tcW w:type="dxa" w:w="3213"/>
          </w:tcPr>
          <w:p>
            <w:r>
              <w:t>Wind speed sensor (anemometer) with automatic operating limits managed by the control system (ride operating limit 15 m/s as per O&amp;M manual, currently assessed by Beaufort scale where no wind monitoring device is installed)</w:t>
            </w:r>
          </w:p>
        </w:tc>
        <w:tc>
          <w:tcPr>
            <w:tcW w:type="dxa" w:w="3213"/>
          </w:tcPr>
          <w:p>
            <w:r>
              <w:t>€ [_______]</w:t>
            </w:r>
          </w:p>
        </w:tc>
      </w:tr>
      <w:tr>
        <w:tc>
          <w:tcPr>
            <w:tcW w:type="dxa" w:w="3213"/>
          </w:tcPr>
          <w:p>
            <w:r>
              <w:t>D</w:t>
            </w:r>
          </w:p>
        </w:tc>
        <w:tc>
          <w:tcPr>
            <w:tcW w:type="dxa" w:w="3213"/>
          </w:tcPr>
          <w:p>
            <w:r>
              <w:t>Remote assistance service contract, [24] months from commissioning</w:t>
            </w:r>
          </w:p>
        </w:tc>
        <w:tc>
          <w:tcPr>
            <w:tcW w:type="dxa" w:w="3213"/>
          </w:tcPr>
          <w:p>
            <w:r>
              <w:t>€ [_______]</w:t>
            </w:r>
          </w:p>
        </w:tc>
      </w:tr>
      <w:tr>
        <w:tc>
          <w:tcPr>
            <w:tcW w:type="dxa" w:w="3213"/>
          </w:tcPr>
          <w:p>
            <w:r>
              <w:t>E</w:t>
            </w:r>
          </w:p>
        </w:tc>
        <w:tc>
          <w:tcPr>
            <w:tcW w:type="dxa" w:w="3213"/>
          </w:tcPr>
          <w:p>
            <w:r>
              <w:t>Annual inspection contract: safety functions proof test acc. to EN ISO 13849-2, parameter backup, instrument calibration check — in support of the AS 3533.2 annual inspection</w:t>
            </w:r>
          </w:p>
        </w:tc>
        <w:tc>
          <w:tcPr>
            <w:tcW w:type="dxa" w:w="3213"/>
          </w:tcPr>
          <w:p>
            <w:r>
              <w:t>€ [_______]</w:t>
            </w:r>
          </w:p>
        </w:tc>
      </w:tr>
      <w:tr>
        <w:tc>
          <w:tcPr>
            <w:tcW w:type="dxa" w:w="3213"/>
          </w:tcPr>
          <w:p>
            <w:r>
              <w:t>F</w:t>
            </w:r>
          </w:p>
        </w:tc>
        <w:tc>
          <w:tcPr>
            <w:tcW w:type="dxa" w:w="3213"/>
          </w:tcPr>
          <w:p>
            <w:r>
              <w:t>Additional on-site working day of P&amp;B technician (per day, per technician)</w:t>
            </w:r>
          </w:p>
        </w:tc>
        <w:tc>
          <w:tcPr>
            <w:tcW w:type="dxa" w:w="3213"/>
          </w:tcPr>
          <w:p>
            <w:r>
              <w:t>€ [_______]</w:t>
            </w:r>
          </w:p>
        </w:tc>
      </w:tr>
    </w:tbl>
    <w:p/>
    <w:p>
      <w:pPr>
        <w:pStyle w:val="Heading2"/>
      </w:pPr>
      <w:r>
        <w:t>5. Terms and Conditions</w:t>
      </w:r>
    </w:p>
    <w:p>
      <w:pPr>
        <w:pStyle w:val="ListBullet"/>
      </w:pPr>
      <w:r>
        <w:rPr>
          <w:b/>
        </w:rPr>
        <w:t>Delivery time:</w:t>
      </w:r>
      <w:r>
        <w:t xml:space="preserve"> [16–20] weeks from receipt of down payment and of all technical information required, ex our works; commissioning at site to be scheduled with the Purchaser according to park operation calendar.</w:t>
      </w:r>
    </w:p>
    <w:p>
      <w:pPr>
        <w:pStyle w:val="ListBullet"/>
      </w:pPr>
      <w:r>
        <w:rPr>
          <w:b/>
        </w:rPr>
        <w:t>Payment:</w:t>
      </w:r>
      <w:r>
        <w:t xml:space="preserve"> [30]% down payment at order; [60]% before shipment; [10]% after commissioning, in any case not later than [30] days from readiness for commissioning. Payments by bank transfer.</w:t>
      </w:r>
    </w:p>
    <w:p>
      <w:pPr>
        <w:pStyle w:val="ListBullet"/>
      </w:pPr>
      <w:r>
        <w:rPr>
          <w:b/>
        </w:rPr>
        <w:t>Warranty:</w:t>
      </w:r>
      <w:r>
        <w:t xml:space="preserve"> 12 months from commissioning, and in any case not exceeding 18 months from delivery, on all supplied equipment, excluding wear parts and damages due to misuse or lack of maintenance.</w:t>
      </w:r>
    </w:p>
    <w:p>
      <w:pPr>
        <w:pStyle w:val="ListBullet"/>
      </w:pPr>
      <w:r>
        <w:rPr>
          <w:b/>
        </w:rPr>
        <w:t>Validity of the offer:</w:t>
      </w:r>
      <w:r>
        <w:t xml:space="preserve"> [60] days from the date hereof.</w:t>
      </w:r>
    </w:p>
    <w:p>
      <w:pPr>
        <w:pStyle w:val="ListBullet"/>
      </w:pPr>
      <w:r>
        <w:rPr>
          <w:b/>
        </w:rPr>
        <w:t>Applicable law / disputes:</w:t>
      </w:r>
      <w:r>
        <w:t xml:space="preserve"> Italian law – Court of Reggio Emilia, Italy.</w:t>
      </w:r>
    </w:p>
    <w:p>
      <w:r>
        <w:t>We remain at your entire disposal for any further information or clarification you may need, and we look forward to receiving your kind order confirmation.</w:t>
      </w:r>
    </w:p>
    <w:p>
      <w:r>
        <w:t>Yours faithfully,</w:t>
      </w:r>
    </w:p>
    <w:p>
      <w:r>
        <w:rPr>
          <w:b/>
        </w:rPr>
        <w:t>PRESTON &amp; BARBIERI S.r.l.</w:t>
      </w:r>
      <w:r>
        <w:br/>
      </w:r>
      <w:r>
        <w:t>[NAME SURNAME]</w:t>
      </w:r>
      <w:r>
        <w:br/>
      </w:r>
      <w:r>
        <w:t>[Title]</w:t>
      </w:r>
    </w:p>
    <w:sectPr w:rsidR="00FC693F" w:rsidRPr="0006063C" w:rsidSect="00034616">
      <w:pgSz w:w="11906" w:h="16838"/>
      <w:pgMar w:top="1440" w:right="1134" w:bottom="14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