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Demostración de Conversión de Documentos</w:t>
      </w:r>
    </w:p>
    <w:p>
      <w:pPr>
        <w:pStyle w:val="Heading2"/>
      </w:pPr>
      <w:r>
        <w:rPr>
          <w:b w:val="0"/>
          <w:i w:val="0"/>
        </w:rPr>
        <w:t>Introducción</w:t>
      </w:r>
    </w:p>
    <w:p>
      <w:pPr/>
      <w:r>
        <w:rPr>
          <w:b w:val="0"/>
          <w:i w:val="0"/>
        </w:rPr>
        <w:t xml:space="preserve">Este es un documento de ejemplo para demostrar la conversión entre formatos Markdown y Word usando </w:t>
      </w:r>
      <w:r>
        <w:rPr>
          <w:b/>
          <w:i w:val="0"/>
        </w:rPr>
        <w:t>jano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Características principales</w:t>
      </w:r>
    </w:p>
    <w:p>
      <w:pPr>
        <w:pStyle w:val="ListBullet"/>
        <w:numPr>
          <w:ilvl w:val="0"/>
          <w:numId w:val="1"/>
        </w:numPr>
      </w:pPr>
      <w:r>
        <w:rPr>
          <w:b w:val="0"/>
          <w:i w:val="0"/>
        </w:rPr>
      </w:r>
      <w:r>
        <w:rPr>
          <w:b/>
          <w:i w:val="0"/>
        </w:rPr>
        <w:t>Encabezados</w:t>
      </w:r>
      <w:r>
        <w:rPr>
          <w:b w:val="0"/>
          <w:i w:val="0"/>
        </w:rPr>
        <w:t>: Se preservan los niveles de encabezado</w:t>
      </w:r>
    </w:p>
    <w:p>
      <w:pPr>
        <w:pStyle w:val="ListBullet"/>
        <w:numPr>
          <w:ilvl w:val="0"/>
          <w:numId w:val="1"/>
        </w:numPr>
      </w:pPr>
      <w:r>
        <w:rPr>
          <w:b w:val="0"/>
          <w:i w:val="0"/>
        </w:rPr>
      </w:r>
      <w:r>
        <w:rPr>
          <w:b/>
          <w:i w:val="0"/>
        </w:rPr>
        <w:t>Listas</w:t>
      </w:r>
      <w:r>
        <w:rPr>
          <w:b w:val="0"/>
          <w:i w:val="0"/>
        </w:rPr>
        <w:t>: Tanto ordenadas como desordenadas se mantienen</w:t>
      </w:r>
    </w:p>
    <w:p>
      <w:pPr>
        <w:pStyle w:val="ListBullet"/>
        <w:numPr>
          <w:ilvl w:val="0"/>
          <w:numId w:val="1"/>
        </w:numPr>
      </w:pPr>
      <w:r>
        <w:rPr>
          <w:b w:val="0"/>
          <w:i w:val="0"/>
        </w:rPr>
      </w:r>
      <w:r>
        <w:rPr>
          <w:b/>
          <w:i w:val="0"/>
        </w:rPr>
        <w:t>Formatos</w:t>
      </w:r>
      <w:r>
        <w:rPr>
          <w:b w:val="0"/>
          <w:i w:val="0"/>
        </w:rPr>
        <w:t xml:space="preserve">: </w:t>
      </w:r>
      <w:r>
        <w:rPr>
          <w:b w:val="0"/>
          <w:i/>
        </w:rPr>
        <w:t>Cursiva</w:t>
      </w:r>
      <w:r>
        <w:rPr>
          <w:b w:val="0"/>
          <w:i w:val="0"/>
        </w:rPr>
        <w:t xml:space="preserve">, </w:t>
      </w:r>
      <w:r>
        <w:rPr>
          <w:b/>
          <w:i w:val="0"/>
        </w:rPr>
        <w:t>negrita</w:t>
      </w:r>
      <w:r>
        <w:rPr>
          <w:b w:val="0"/>
          <w:i w:val="0"/>
        </w:rPr>
        <w:t>, y más</w:t>
      </w:r>
    </w:p>
    <w:p>
      <w:pPr>
        <w:pStyle w:val="ListBullet"/>
        <w:numPr>
          <w:ilvl w:val="0"/>
          <w:numId w:val="1"/>
        </w:numPr>
      </w:pPr>
      <w:r>
        <w:rPr>
          <w:b w:val="0"/>
          <w:i w:val="0"/>
        </w:rPr>
      </w:r>
      <w:r>
        <w:rPr>
          <w:b/>
          <w:i w:val="0"/>
        </w:rPr>
        <w:t>Enlaces</w:t>
      </w:r>
      <w:r>
        <w:rPr>
          <w:b w:val="0"/>
          <w:i w:val="0"/>
        </w:rPr>
        <w:t xml:space="preserve">: </w:t>
      </w:r>
      <w:hyperlink r:id="rId9">
        <w:r>
          <w:rPr>
            <w:rStyle w:val="Hyperlink"/>
          </w:rPr>
          <w:t xml:space="preserve">Copérnico</w:t>
        </w:r>
      </w:hyperlink>
    </w:p>
    <w:p>
      <w:pPr>
        <w:pStyle w:val="Heading2"/>
      </w:pPr>
      <w:r>
        <w:rPr>
          <w:b w:val="0"/>
          <w:i w:val="0"/>
        </w:rPr>
        <w:t>Contenido</w:t>
      </w:r>
    </w:p>
    <w:p>
      <w:pPr>
        <w:pStyle w:val="Heading3"/>
      </w:pPr>
      <w:r>
        <w:rPr>
          <w:b w:val="0"/>
          <w:i w:val="0"/>
        </w:rPr>
        <w:t>Párrafo 1</w:t>
      </w:r>
    </w:p>
    <w:p>
      <w:pPr/>
      <w:r>
        <w:rPr>
          <w:b w:val="0"/>
          <w:i w:val="0"/>
        </w:rPr>
        <w:t xml:space="preserve">Este es un párrafo de ejemplo con </w:t>
      </w:r>
      <w:r>
        <w:rPr>
          <w:b/>
          <w:i w:val="0"/>
        </w:rPr>
        <w:t>texto en negrita</w:t>
      </w:r>
      <w:r>
        <w:rPr>
          <w:b w:val="0"/>
          <w:i w:val="0"/>
        </w:rPr>
        <w:t xml:space="preserve"> y </w:t>
      </w:r>
      <w:r>
        <w:rPr>
          <w:b w:val="0"/>
          <w:i/>
        </w:rPr>
        <w:t>texto en cursiva</w:t>
      </w:r>
      <w:r>
        <w:rPr>
          <w:b w:val="0"/>
          <w:i w:val="0"/>
        </w:rPr>
        <w:t>. La conversión preserva estos formatos.</w:t>
      </w:r>
    </w:p>
    <w:p>
      <w:pPr>
        <w:pStyle w:val="Heading3"/>
      </w:pPr>
      <w:r>
        <w:rPr>
          <w:b w:val="0"/>
          <w:i w:val="0"/>
        </w:rPr>
        <w:t>Lista de puntos</w:t>
      </w:r>
    </w:p>
    <w:p>
      <w:pPr>
        <w:pStyle w:val="ListNumber"/>
        <w:numPr>
          <w:ilvl w:val="0"/>
          <w:numId w:val="2"/>
        </w:numPr>
      </w:pPr>
      <w:r>
        <w:rPr>
          <w:b w:val="0"/>
          <w:i w:val="0"/>
        </w:rPr>
        <w:t>Primer punto</w:t>
      </w:r>
    </w:p>
    <w:p>
      <w:pPr>
        <w:pStyle w:val="ListNumber"/>
        <w:numPr>
          <w:ilvl w:val="0"/>
          <w:numId w:val="2"/>
        </w:numPr>
      </w:pPr>
      <w:r>
        <w:rPr>
          <w:b w:val="0"/>
          <w:i w:val="0"/>
        </w:rPr>
        <w:t>Segundo punto</w:t>
      </w:r>
    </w:p>
    <w:p>
      <w:pPr>
        <w:pStyle w:val="ListNumber"/>
        <w:numPr>
          <w:ilvl w:val="1"/>
          <w:numId w:val="2"/>
        </w:numPr>
      </w:pPr>
      <w:r>
        <w:rPr>
          <w:b w:val="0"/>
          <w:i w:val="0"/>
        </w:rPr>
        <w:t>Sub-punto 1</w:t>
      </w:r>
    </w:p>
    <w:p>
      <w:pPr>
        <w:pStyle w:val="ListNumber"/>
        <w:numPr>
          <w:ilvl w:val="1"/>
          <w:numId w:val="2"/>
        </w:numPr>
      </w:pPr>
      <w:r>
        <w:rPr>
          <w:b w:val="0"/>
          <w:i w:val="0"/>
        </w:rPr>
        <w:t>Sub-punto 2</w:t>
      </w:r>
    </w:p>
    <w:p>
      <w:pPr>
        <w:pStyle w:val="ListNumber"/>
        <w:numPr>
          <w:ilvl w:val="0"/>
          <w:numId w:val="2"/>
        </w:numPr>
      </w:pPr>
      <w:r>
        <w:rPr>
          <w:b w:val="0"/>
          <w:i w:val="0"/>
        </w:rPr>
        <w:t>Tercer punto</w:t>
      </w:r>
    </w:p>
    <w:p>
      <w:pPr>
        <w:pStyle w:val="Heading3"/>
      </w:pPr>
      <w:r>
        <w:rPr>
          <w:b w:val="0"/>
          <w:i w:val="0"/>
        </w:rPr>
        <w:t>Tabla ejemplo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Columna 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Columna C</w:t>
            </w:r>
          </w:p>
        </w:tc>
      </w:tr>
      <w:tr>
        <w:tc>
          <w:tcPr>
            <w:tcW w:type="dxa" w:w="2880"/>
          </w:tcPr>
          <w:p>
            <w:r>
              <w:t>Dato 1</w:t>
            </w:r>
          </w:p>
        </w:tc>
        <w:tc>
          <w:tcPr>
            <w:tcW w:type="dxa" w:w="2880"/>
          </w:tcPr>
          <w:p>
            <w:r>
              <w:t>Dato 2</w:t>
            </w:r>
          </w:p>
        </w:tc>
        <w:tc>
          <w:tcPr>
            <w:tcW w:type="dxa" w:w="2880"/>
          </w:tcPr>
          <w:p>
            <w:r>
              <w:t>Dato 3</w:t>
            </w:r>
          </w:p>
        </w:tc>
      </w:tr>
      <w:tr>
        <w:tc>
          <w:tcPr>
            <w:tcW w:type="dxa" w:w="2880"/>
          </w:tcPr>
          <w:p>
            <w:r>
              <w:t>Dato 4</w:t>
            </w:r>
          </w:p>
        </w:tc>
        <w:tc>
          <w:tcPr>
            <w:tcW w:type="dxa" w:w="2880"/>
          </w:tcPr>
          <w:p>
            <w:r>
              <w:t>Dato 5</w:t>
            </w:r>
          </w:p>
        </w:tc>
        <w:tc>
          <w:tcPr>
            <w:tcW w:type="dxa" w:w="2880"/>
          </w:tcPr>
          <w:p>
            <w:r>
              <w:t>Dato 6</w:t>
            </w:r>
          </w:p>
        </w:tc>
      </w:tr>
    </w:tbl>
    <w:p>
      <w:pPr>
        <w:pStyle w:val="Heading3"/>
      </w:pPr>
      <w:r>
        <w:rPr>
          <w:b w:val="0"/>
          <w:i w:val="0"/>
        </w:rPr>
        <w:t>Bloque de código</w:t>
      </w:r>
    </w:p>
    <w:p>
      <w:pPr/>
      <w:r>
        <w:rPr>
          <w:rFonts w:ascii="Courier New" w:hAnsi="Courier New"/>
          <w:sz w:val="20"/>
        </w:rPr>
        <w:t>def hola_mundo():</w:t>
        <w:br/>
        <w:t xml:space="preserve">    print("Hola, mundo!")</w:t>
        <w:br/>
        <w:t xml:space="preserve">    return True</w:t>
      </w:r>
    </w:p>
    <w:p>
      <w:pPr>
        <w:pStyle w:val="Heading3"/>
      </w:pPr>
      <w:r>
        <w:rPr>
          <w:b w:val="0"/>
          <w:i w:val="0"/>
        </w:rPr>
        <w:t>Cita</w:t>
      </w:r>
    </w:p>
    <w:p>
      <w:pPr>
        <w:ind w:left="720"/>
      </w:pPr>
      <w:r>
        <w:rPr>
          <w:b/>
        </w:rPr>
        <w:t xml:space="preserve">| </w:t>
      </w:r>
      <w:r>
        <w:rPr>
          <w:b w:val="0"/>
          <w:i w:val="0"/>
        </w:rPr>
        <w:t>Esta es una cita de ejemplo que será preservada en la conversión.</w:t>
      </w:r>
    </w:p>
    <w:p>
      <w:pPr>
        <w:pStyle w:val="Heading2"/>
      </w:pPr>
      <w:r>
        <w:rPr>
          <w:b w:val="0"/>
          <w:i w:val="0"/>
        </w:rPr>
        <w:t>Conclusión</w:t>
      </w:r>
    </w:p>
    <w:p>
      <w:pPr/>
      <w:r>
        <w:rPr>
          <w:b w:val="0"/>
          <w:i w:val="0"/>
        </w:rPr>
        <w:t>La conversión de documentos es transparente y mantiene la integridad de la estructura y el contenido.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pernico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