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sz w:val="22"/>
        </w:rPr>
        <w:t>Student ID: 24AIML060</w:t>
      </w:r>
    </w:p>
    <w:tbl>
      <w:tblPr>
        <w:tblW w:type="auto" w:w="0"/>
        <w:jc w:val="center"/>
        <w:tblLayout w:type="fixed"/>
        <w:tblLook w:firstColumn="1" w:firstRow="1" w:lastColumn="0" w:lastRow="0" w:noHBand="0" w:noVBand="1" w:val="04A0"/>
      </w:tblPr>
      <w:tblGrid>
        <w:gridCol w:w="1584"/>
        <w:gridCol w:w="9216"/>
      </w:tblGrid>
      <w:tr>
        <w:tc>
          <w:tcPr>
            <w:tcW w:type="dxa" w:w="1584"/>
            <w:vAlign w:val="center"/>
          </w:tcPr>
          <w:p>
            <w:pPr>
              <w:spacing w:before="0" w:after="0"/>
              <w:jc w:val="center"/>
            </w:pPr>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p6_page0_img2.png"/>
                          <pic:cNvPicPr/>
                        </pic:nvPicPr>
                        <pic:blipFill>
                          <a:blip r:embed="rId9"/>
                          <a:stretch>
                            <a:fillRect/>
                          </a:stretch>
                        </pic:blipFill>
                        <pic:spPr>
                          <a:xfrm>
                            <a:off x="0" y="0"/>
                            <a:ext cx="868680" cy="868680"/>
                          </a:xfrm>
                          <a:prstGeom prst="rect"/>
                        </pic:spPr>
                      </pic:pic>
                    </a:graphicData>
                  </a:graphic>
                </wp:inline>
              </w:drawing>
            </w:r>
          </w:p>
        </w:tc>
        <w:tc>
          <w:tcPr>
            <w:tcW w:type="dxa" w:w="9216"/>
            <w:vAlign w:val="center"/>
          </w:tcPr>
          <w:p>
            <w:pPr>
              <w:spacing w:before="0" w:after="20"/>
              <w:jc w:val="center"/>
            </w:pPr>
            <w:r>
              <w:rPr>
                <w:rFonts w:ascii="Arial" w:hAnsi="Arial"/>
                <w:b/>
                <w:sz w:val="24"/>
              </w:rPr>
              <w:t>CHAROTAR UNIVERSITY OF SCIENCE AND TECHNOLOGY</w:t>
              <w:br/>
            </w:r>
            <w:r>
              <w:rPr>
                <w:rFonts w:ascii="Arial" w:hAnsi="Arial"/>
                <w:b/>
                <w:sz w:val="20"/>
              </w:rPr>
              <w:t>FACULTY OF TECHNOLOGY AND ENGINEERING</w:t>
              <w:br/>
              <w:t>B. TECH (IT/CE/CSE/AIML)</w:t>
              <w:br/>
            </w:r>
            <w:r>
              <w:rPr>
                <w:rFonts w:ascii="Arial" w:hAnsi="Arial"/>
                <w:b/>
                <w:sz w:val="20"/>
              </w:rPr>
              <w:t>Subject: Advanced Web Development Frameworks (ITUE301) | Semester: 5th</w:t>
            </w:r>
          </w:p>
        </w:tc>
      </w:tr>
    </w:tbl>
    <w:p>
      <w:pPr>
        <w:spacing w:before="40" w:after="80"/>
      </w:pPr>
    </w:p>
    <w:tbl>
      <w:tblPr>
        <w:tblW w:type="auto" w:w="0"/>
        <w:jc w:val="center"/>
        <w:tblLayout w:type="fixed"/>
        <w:tblLook w:firstColumn="1" w:firstRow="1" w:lastColumn="0" w:lastRow="0" w:noHBand="0" w:noVBand="1" w:val="04A0"/>
      </w:tblPr>
      <w:tblGrid>
        <w:gridCol w:w="5400"/>
        <w:gridCol w:w="5400"/>
      </w:tblGrid>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Practical Statement:</w:t>
            </w:r>
          </w:p>
        </w:tc>
        <w:tc>
          <w:tcPr>
            <w:tcW w:type="dxa" w:w="8136"/>
            <w:tcBorders>
              <w:top w:val="single" w:sz="6" w:space="0" w:color="000000"/>
              <w:left w:val="single" w:sz="6" w:space="0" w:color="000000"/>
              <w:bottom w:val="single" w:sz="6" w:space="0" w:color="000000"/>
              <w:right w:val="single" w:sz="6" w:space="0" w:color="000000"/>
            </w:tcBorders>
          </w:tcPr>
          <w:p>
            <w:pPr>
              <w:spacing w:before="40" w:after="40"/>
            </w:pPr>
            <w:r>
              <w:rPr>
                <w:b/>
                <w:sz w:val="21"/>
              </w:rPr>
              <w:t>Practical 10: Asynchronous Processing with Event-Driven Architecture</w:t>
              <w:br/>
            </w:r>
          </w:p>
          <w:p>
            <w:pPr>
              <w:spacing w:before="20" w:after="20"/>
              <w:ind w:left="288"/>
            </w:pPr>
            <w:r>
              <w:rPr>
                <w:sz w:val="19"/>
              </w:rPr>
              <w:t xml:space="preserve">  Created a centralized EventEmitter module (events/emitter.js) using Node.js built-in 'node:events' to decouple background tasks from request-response cycles.</w:t>
            </w:r>
          </w:p>
          <w:p>
            <w:pPr>
              <w:spacing w:before="20" w:after="20"/>
              <w:ind w:left="288"/>
            </w:pPr>
            <w:r>
              <w:rPr>
                <w:sz w:val="19"/>
              </w:rPr>
              <w:t xml:space="preserve">  Implemented background event listeners (events/listeners.js) for email dispatch simulation (2s delay) and audit logging that execute asynchronously after HTTP response.</w:t>
            </w:r>
          </w:p>
          <w:p>
            <w:pPr>
              <w:spacing w:before="20" w:after="20"/>
              <w:ind w:left="288"/>
            </w:pPr>
            <w:r>
              <w:rPr>
                <w:sz w:val="19"/>
              </w:rPr>
              <w:t xml:space="preserve">  Built synchronous baseline endpoint (POST /api/messages/sync) with inline 2-second blocking delay to measure before-optimization response time (~2,207 ms avg).</w:t>
            </w:r>
          </w:p>
          <w:p>
            <w:pPr>
              <w:spacing w:before="20" w:after="20"/>
              <w:ind w:left="288"/>
            </w:pPr>
            <w:r>
              <w:rPr>
                <w:sz w:val="19"/>
              </w:rPr>
              <w:t xml:space="preserve">  Converted main contact endpoint (POST /api/messages) to emit 'messageReceived' event and respond immediately with 201, achieving ~19 ms average response time (99.1% improvement).</w:t>
            </w:r>
          </w:p>
          <w:p>
            <w:pPr>
              <w:spacing w:before="20" w:after="20"/>
              <w:ind w:left="288"/>
            </w:pPr>
            <w:r>
              <w:rPr>
                <w:sz w:val="19"/>
              </w:rPr>
              <w:t xml:space="preserve">  Demonstrated fault tolerance with a deliberately crashing listener (POST /api/messages/fault-test) that proves background errors never affect the HTTP response or crash the server.</w:t>
            </w:r>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Screenshots :</w:t>
            </w:r>
          </w:p>
        </w:tc>
        <w:tc>
          <w:tcPr>
            <w:tcW w:type="dxa" w:w="8136"/>
            <w:tcBorders>
              <w:top w:val="single" w:sz="6" w:space="0" w:color="000000"/>
              <w:left w:val="single" w:sz="6" w:space="0" w:color="000000"/>
              <w:bottom w:val="single" w:sz="6" w:space="0" w:color="000000"/>
              <w:right w:val="single" w:sz="6" w:space="0" w:color="000000"/>
            </w:tcBorders>
          </w:tcPr>
          <w:p>
            <w:pPr>
              <w:spacing w:before="40" w:after="40"/>
            </w:pPr>
            <w:r>
              <w:rPr>
                <w:b/>
              </w:rPr>
              <w:t>Verification &amp; Benchmark Evidence:</w:t>
              <w:br/>
            </w:r>
          </w:p>
          <w:p>
            <w:pPr>
              <w:spacing w:before="80" w:after="40"/>
            </w:pPr>
            <w:r>
              <w:rPr>
                <w:b/>
                <w:sz w:val="19"/>
              </w:rPr>
              <w:t>1. Synchronous Baseline: 3 POST /api/messages/sync readings (blocking 2s delay)</w:t>
            </w:r>
          </w:p>
          <w:p>
            <w:pPr>
              <w:spacing w:before="20" w:after="40"/>
              <w:jc w:val="center"/>
            </w:pPr>
            <w:r>
              <w:drawing>
                <wp:inline xmlns:a="http://schemas.openxmlformats.org/drawingml/2006/main" xmlns:pic="http://schemas.openxmlformats.org/drawingml/2006/picture">
                  <wp:extent cx="4251960" cy="2214562"/>
                  <wp:docPr id="2" name="Picture 2"/>
                  <wp:cNvGraphicFramePr>
                    <a:graphicFrameLocks noChangeAspect="1"/>
                  </wp:cNvGraphicFramePr>
                  <a:graphic>
                    <a:graphicData uri="http://schemas.openxmlformats.org/drawingml/2006/picture">
                      <pic:pic>
                        <pic:nvPicPr>
                          <pic:cNvPr id="0" name="01_sync_baseline_3_readings.png"/>
                          <pic:cNvPicPr/>
                        </pic:nvPicPr>
                        <pic:blipFill>
                          <a:blip r:embed="rId10"/>
                          <a:stretch>
                            <a:fillRect/>
                          </a:stretch>
                        </pic:blipFill>
                        <pic:spPr>
                          <a:xfrm>
                            <a:off x="0" y="0"/>
                            <a:ext cx="4251960" cy="2214562"/>
                          </a:xfrm>
                          <a:prstGeom prst="rect"/>
                        </pic:spPr>
                      </pic:pic>
                    </a:graphicData>
                  </a:graphic>
                </wp:inline>
              </w:drawing>
            </w:r>
          </w:p>
          <w:p>
            <w:pPr>
              <w:spacing w:before="80" w:after="40"/>
            </w:pPr>
            <w:r>
              <w:rPr>
                <w:b/>
                <w:sz w:val="19"/>
              </w:rPr>
              <w:t>2. Code: EventEmitter module &amp; background listeners</w:t>
            </w:r>
          </w:p>
          <w:p>
            <w:pPr>
              <w:spacing w:before="20" w:after="40"/>
              <w:jc w:val="center"/>
            </w:pPr>
            <w:r>
              <w:drawing>
                <wp:inline xmlns:a="http://schemas.openxmlformats.org/drawingml/2006/main" xmlns:pic="http://schemas.openxmlformats.org/drawingml/2006/picture">
                  <wp:extent cx="4251960" cy="2303145"/>
                  <wp:docPr id="3" name="Picture 3"/>
                  <wp:cNvGraphicFramePr>
                    <a:graphicFrameLocks noChangeAspect="1"/>
                  </wp:cNvGraphicFramePr>
                  <a:graphic>
                    <a:graphicData uri="http://schemas.openxmlformats.org/drawingml/2006/picture">
                      <pic:pic>
                        <pic:nvPicPr>
                          <pic:cNvPr id="0" name="02_code_emitter_listeners.png"/>
                          <pic:cNvPicPr/>
                        </pic:nvPicPr>
                        <pic:blipFill>
                          <a:blip r:embed="rId11"/>
                          <a:stretch>
                            <a:fillRect/>
                          </a:stretch>
                        </pic:blipFill>
                        <pic:spPr>
                          <a:xfrm>
                            <a:off x="0" y="0"/>
                            <a:ext cx="4251960" cy="2303145"/>
                          </a:xfrm>
                          <a:prstGeom prst="rect"/>
                        </pic:spPr>
                      </pic:pic>
                    </a:graphicData>
                  </a:graphic>
                </wp:inline>
              </w:drawing>
            </w:r>
          </w:p>
          <w:p>
            <w:pPr>
              <w:spacing w:before="80" w:after="40"/>
            </w:pPr>
            <w:r>
              <w:rPr>
                <w:b/>
                <w:sz w:val="19"/>
              </w:rPr>
              <w:t>3. Code: Sync vs Async controller comparison (emit + immediate 201)</w:t>
            </w:r>
          </w:p>
          <w:p>
            <w:pPr>
              <w:spacing w:before="20" w:after="40"/>
              <w:jc w:val="center"/>
            </w:pPr>
            <w:r>
              <w:drawing>
                <wp:inline xmlns:a="http://schemas.openxmlformats.org/drawingml/2006/main" xmlns:pic="http://schemas.openxmlformats.org/drawingml/2006/picture">
                  <wp:extent cx="4251960" cy="2303145"/>
                  <wp:docPr id="4" name="Picture 4"/>
                  <wp:cNvGraphicFramePr>
                    <a:graphicFrameLocks noChangeAspect="1"/>
                  </wp:cNvGraphicFramePr>
                  <a:graphic>
                    <a:graphicData uri="http://schemas.openxmlformats.org/drawingml/2006/picture">
                      <pic:pic>
                        <pic:nvPicPr>
                          <pic:cNvPr id="0" name="03_code_async_controller.png"/>
                          <pic:cNvPicPr/>
                        </pic:nvPicPr>
                        <pic:blipFill>
                          <a:blip r:embed="rId12"/>
                          <a:stretch>
                            <a:fillRect/>
                          </a:stretch>
                        </pic:blipFill>
                        <pic:spPr>
                          <a:xfrm>
                            <a:off x="0" y="0"/>
                            <a:ext cx="4251960" cy="2303145"/>
                          </a:xfrm>
                          <a:prstGeom prst="rect"/>
                        </pic:spPr>
                      </pic:pic>
                    </a:graphicData>
                  </a:graphic>
                </wp:inline>
              </w:drawing>
            </w:r>
          </w:p>
          <w:p>
            <w:pPr>
              <w:spacing w:before="80" w:after="40"/>
            </w:pPr>
            <w:r>
              <w:rPr>
                <w:b/>
                <w:sz w:val="19"/>
              </w:rPr>
              <w:t>4. Async Event-Driven: 3 POST /api/messages readings (instant response)</w:t>
            </w:r>
          </w:p>
          <w:p>
            <w:pPr>
              <w:spacing w:before="20" w:after="40"/>
              <w:jc w:val="center"/>
            </w:pPr>
            <w:r>
              <w:drawing>
                <wp:inline xmlns:a="http://schemas.openxmlformats.org/drawingml/2006/main" xmlns:pic="http://schemas.openxmlformats.org/drawingml/2006/picture">
                  <wp:extent cx="4251960" cy="2214562"/>
                  <wp:docPr id="5" name="Picture 5"/>
                  <wp:cNvGraphicFramePr>
                    <a:graphicFrameLocks noChangeAspect="1"/>
                  </wp:cNvGraphicFramePr>
                  <a:graphic>
                    <a:graphicData uri="http://schemas.openxmlformats.org/drawingml/2006/picture">
                      <pic:pic>
                        <pic:nvPicPr>
                          <pic:cNvPr id="0" name="04_async_3_readings.png"/>
                          <pic:cNvPicPr/>
                        </pic:nvPicPr>
                        <pic:blipFill>
                          <a:blip r:embed="rId13"/>
                          <a:stretch>
                            <a:fillRect/>
                          </a:stretch>
                        </pic:blipFill>
                        <pic:spPr>
                          <a:xfrm>
                            <a:off x="0" y="0"/>
                            <a:ext cx="4251960" cy="2214562"/>
                          </a:xfrm>
                          <a:prstGeom prst="rect"/>
                        </pic:spPr>
                      </pic:pic>
                    </a:graphicData>
                  </a:graphic>
                </wp:inline>
              </w:drawing>
            </w:r>
          </w:p>
          <w:p>
            <w:pPr>
              <w:spacing w:before="80" w:after="40"/>
            </w:pPr>
            <w:r>
              <w:rPr>
                <w:b/>
                <w:sz w:val="19"/>
              </w:rPr>
              <w:t>5. Fault Tolerance: Background listener error isolation proof</w:t>
            </w:r>
          </w:p>
          <w:p>
            <w:pPr>
              <w:spacing w:before="20" w:after="40"/>
              <w:jc w:val="center"/>
            </w:pPr>
            <w:r>
              <w:drawing>
                <wp:inline xmlns:a="http://schemas.openxmlformats.org/drawingml/2006/main" xmlns:pic="http://schemas.openxmlformats.org/drawingml/2006/picture">
                  <wp:extent cx="4251960" cy="2303145"/>
                  <wp:docPr id="6" name="Picture 6"/>
                  <wp:cNvGraphicFramePr>
                    <a:graphicFrameLocks noChangeAspect="1"/>
                  </wp:cNvGraphicFramePr>
                  <a:graphic>
                    <a:graphicData uri="http://schemas.openxmlformats.org/drawingml/2006/picture">
                      <pic:pic>
                        <pic:nvPicPr>
                          <pic:cNvPr id="0" name="05_fault_tolerance_proof.png"/>
                          <pic:cNvPicPr/>
                        </pic:nvPicPr>
                        <pic:blipFill>
                          <a:blip r:embed="rId14"/>
                          <a:stretch>
                            <a:fillRect/>
                          </a:stretch>
                        </pic:blipFill>
                        <pic:spPr>
                          <a:xfrm>
                            <a:off x="0" y="0"/>
                            <a:ext cx="4251960" cy="2303145"/>
                          </a:xfrm>
                          <a:prstGeom prst="rect"/>
                        </pic:spPr>
                      </pic:pic>
                    </a:graphicData>
                  </a:graphic>
                </wp:inline>
              </w:drawing>
            </w:r>
          </w:p>
          <w:p>
            <w:pPr>
              <w:spacing w:before="80" w:after="40"/>
            </w:pPr>
            <w:r>
              <w:rPr>
                <w:b/>
                <w:sz w:val="19"/>
              </w:rPr>
              <w:t>6. Server Console: Background listeners completing after HTTP response</w:t>
            </w:r>
          </w:p>
          <w:p>
            <w:pPr>
              <w:spacing w:before="20" w:after="40"/>
              <w:jc w:val="center"/>
            </w:pPr>
            <w:r>
              <w:drawing>
                <wp:inline xmlns:a="http://schemas.openxmlformats.org/drawingml/2006/main" xmlns:pic="http://schemas.openxmlformats.org/drawingml/2006/picture">
                  <wp:extent cx="4251960" cy="2125980"/>
                  <wp:docPr id="7" name="Picture 7"/>
                  <wp:cNvGraphicFramePr>
                    <a:graphicFrameLocks noChangeAspect="1"/>
                  </wp:cNvGraphicFramePr>
                  <a:graphic>
                    <a:graphicData uri="http://schemas.openxmlformats.org/drawingml/2006/picture">
                      <pic:pic>
                        <pic:nvPicPr>
                          <pic:cNvPr id="0" name="06_console_background_listeners.png"/>
                          <pic:cNvPicPr/>
                        </pic:nvPicPr>
                        <pic:blipFill>
                          <a:blip r:embed="rId15"/>
                          <a:stretch>
                            <a:fillRect/>
                          </a:stretch>
                        </pic:blipFill>
                        <pic:spPr>
                          <a:xfrm>
                            <a:off x="0" y="0"/>
                            <a:ext cx="4251960" cy="2125980"/>
                          </a:xfrm>
                          <a:prstGeom prst="rect"/>
                        </pic:spPr>
                      </pic:pic>
                    </a:graphicData>
                  </a:graphic>
                </wp:inline>
              </w:drawing>
            </w:r>
          </w:p>
          <w:p>
            <w:pPr>
              <w:spacing w:before="120" w:after="40"/>
            </w:pPr>
            <w:r>
              <w:rPr>
                <w:b/>
                <w:sz w:val="19"/>
              </w:rPr>
              <w:t>7. Response Time Comparison Table (Measured Values):</w:t>
            </w:r>
          </w:p>
          <w:tbl>
            <w:tblPr>
              <w:tblW w:type="auto" w:w="0"/>
              <w:jc w:val="center"/>
              <w:tblLayout w:type="fixed"/>
              <w:tblLook w:firstColumn="1" w:firstRow="1" w:lastColumn="0" w:lastRow="0" w:noHBand="0" w:noVBand="1" w:val="04A0"/>
            </w:tblPr>
            <w:tblGrid>
              <w:gridCol w:w="1627"/>
              <w:gridCol w:w="1627"/>
              <w:gridCol w:w="1627"/>
              <w:gridCol w:w="1627"/>
              <w:gridCol w:w="1627"/>
            </w:tblGrid>
            <w:tr>
              <w:tc>
                <w:tcPr>
                  <w:tcW w:type="dxa" w:w="2448"/>
                  <w:shd w:fill="e4e4e7"/>
                  <w:tcBorders>
                    <w:top w:val="single" w:sz="4" w:space="0" w:color="000000"/>
                    <w:left w:val="single" w:sz="4" w:space="0" w:color="000000"/>
                    <w:bottom w:val="single" w:sz="4" w:space="0" w:color="000000"/>
                    <w:right w:val="single" w:sz="4" w:space="0" w:color="000000"/>
                  </w:tcBorders>
                </w:tcPr>
                <w:p>
                  <w:pPr>
                    <w:jc w:val="center"/>
                  </w:pPr>
                  <w:r>
                    <w:rPr>
                      <w:b/>
                      <w:sz w:val="16"/>
                    </w:rPr>
                    <w:t>Execution Mode</w:t>
                  </w:r>
                </w:p>
              </w:tc>
              <w:tc>
                <w:tcPr>
                  <w:tcW w:type="dxa" w:w="1296"/>
                  <w:shd w:fill="e4e4e7"/>
                  <w:tcBorders>
                    <w:top w:val="single" w:sz="4" w:space="0" w:color="000000"/>
                    <w:left w:val="single" w:sz="4" w:space="0" w:color="000000"/>
                    <w:bottom w:val="single" w:sz="4" w:space="0" w:color="000000"/>
                    <w:right w:val="single" w:sz="4" w:space="0" w:color="000000"/>
                  </w:tcBorders>
                </w:tcPr>
                <w:p>
                  <w:pPr>
                    <w:jc w:val="center"/>
                  </w:pPr>
                  <w:r>
                    <w:rPr>
                      <w:b/>
                      <w:sz w:val="16"/>
                    </w:rPr>
                    <w:t>Reading 1</w:t>
                  </w:r>
                </w:p>
              </w:tc>
              <w:tc>
                <w:tcPr>
                  <w:tcW w:type="dxa" w:w="1296"/>
                  <w:shd w:fill="e4e4e7"/>
                  <w:tcBorders>
                    <w:top w:val="single" w:sz="4" w:space="0" w:color="000000"/>
                    <w:left w:val="single" w:sz="4" w:space="0" w:color="000000"/>
                    <w:bottom w:val="single" w:sz="4" w:space="0" w:color="000000"/>
                    <w:right w:val="single" w:sz="4" w:space="0" w:color="000000"/>
                  </w:tcBorders>
                </w:tcPr>
                <w:p>
                  <w:pPr>
                    <w:jc w:val="center"/>
                  </w:pPr>
                  <w:r>
                    <w:rPr>
                      <w:b/>
                      <w:sz w:val="16"/>
                    </w:rPr>
                    <w:t>Reading 2</w:t>
                  </w:r>
                </w:p>
              </w:tc>
              <w:tc>
                <w:tcPr>
                  <w:tcW w:type="dxa" w:w="1296"/>
                  <w:shd w:fill="e4e4e7"/>
                  <w:tcBorders>
                    <w:top w:val="single" w:sz="4" w:space="0" w:color="000000"/>
                    <w:left w:val="single" w:sz="4" w:space="0" w:color="000000"/>
                    <w:bottom w:val="single" w:sz="4" w:space="0" w:color="000000"/>
                    <w:right w:val="single" w:sz="4" w:space="0" w:color="000000"/>
                  </w:tcBorders>
                </w:tcPr>
                <w:p>
                  <w:pPr>
                    <w:jc w:val="center"/>
                  </w:pPr>
                  <w:r>
                    <w:rPr>
                      <w:b/>
                      <w:sz w:val="16"/>
                    </w:rPr>
                    <w:t>Reading 3</w:t>
                  </w:r>
                </w:p>
              </w:tc>
              <w:tc>
                <w:tcPr>
                  <w:tcW w:type="dxa" w:w="1440"/>
                  <w:shd w:fill="e4e4e7"/>
                  <w:tcBorders>
                    <w:top w:val="single" w:sz="4" w:space="0" w:color="000000"/>
                    <w:left w:val="single" w:sz="4" w:space="0" w:color="000000"/>
                    <w:bottom w:val="single" w:sz="4" w:space="0" w:color="000000"/>
                    <w:right w:val="single" w:sz="4" w:space="0" w:color="000000"/>
                  </w:tcBorders>
                </w:tcPr>
                <w:p>
                  <w:pPr>
                    <w:jc w:val="center"/>
                  </w:pPr>
                  <w:r>
                    <w:rPr>
                      <w:b/>
                      <w:sz w:val="16"/>
                    </w:rPr>
                    <w:t>Average Time</w:t>
                  </w:r>
                </w:p>
              </w:tc>
            </w:tr>
            <w:tr>
              <w:tc>
                <w:tcPr>
                  <w:tcW w:type="dxa" w:w="2448"/>
                  <w:tcBorders>
                    <w:top w:val="single" w:sz="4" w:space="0" w:color="000000"/>
                    <w:left w:val="single" w:sz="4" w:space="0" w:color="000000"/>
                    <w:bottom w:val="single" w:sz="4" w:space="0" w:color="000000"/>
                    <w:right w:val="single" w:sz="4" w:space="0" w:color="000000"/>
                  </w:tcBorders>
                </w:tcPr>
                <w:p>
                  <w:r>
                    <w:rPr>
                      <w:sz w:val="16"/>
                    </w:rPr>
                    <w:t>Synchronous (inline 2s)</w:t>
                  </w:r>
                </w:p>
              </w:tc>
              <w:tc>
                <w:tcPr>
                  <w:tcW w:type="dxa" w:w="1296"/>
                  <w:tcBorders>
                    <w:top w:val="single" w:sz="4" w:space="0" w:color="000000"/>
                    <w:left w:val="single" w:sz="4" w:space="0" w:color="000000"/>
                    <w:bottom w:val="single" w:sz="4" w:space="0" w:color="000000"/>
                    <w:right w:val="single" w:sz="4" w:space="0" w:color="000000"/>
                  </w:tcBorders>
                </w:tcPr>
                <w:p>
                  <w:pPr>
                    <w:jc w:val="center"/>
                  </w:pPr>
                  <w:r>
                    <w:rPr>
                      <w:sz w:val="16"/>
                    </w:rPr>
                    <w:t>2,218 ms</w:t>
                  </w:r>
                </w:p>
              </w:tc>
              <w:tc>
                <w:tcPr>
                  <w:tcW w:type="dxa" w:w="1296"/>
                  <w:tcBorders>
                    <w:top w:val="single" w:sz="4" w:space="0" w:color="000000"/>
                    <w:left w:val="single" w:sz="4" w:space="0" w:color="000000"/>
                    <w:bottom w:val="single" w:sz="4" w:space="0" w:color="000000"/>
                    <w:right w:val="single" w:sz="4" w:space="0" w:color="000000"/>
                  </w:tcBorders>
                </w:tcPr>
                <w:p>
                  <w:pPr>
                    <w:jc w:val="center"/>
                  </w:pPr>
                  <w:r>
                    <w:rPr>
                      <w:sz w:val="16"/>
                    </w:rPr>
                    <w:t>2,205 ms</w:t>
                  </w:r>
                </w:p>
              </w:tc>
              <w:tc>
                <w:tcPr>
                  <w:tcW w:type="dxa" w:w="1296"/>
                  <w:tcBorders>
                    <w:top w:val="single" w:sz="4" w:space="0" w:color="000000"/>
                    <w:left w:val="single" w:sz="4" w:space="0" w:color="000000"/>
                    <w:bottom w:val="single" w:sz="4" w:space="0" w:color="000000"/>
                    <w:right w:val="single" w:sz="4" w:space="0" w:color="000000"/>
                  </w:tcBorders>
                </w:tcPr>
                <w:p>
                  <w:pPr>
                    <w:jc w:val="center"/>
                  </w:pPr>
                  <w:r>
                    <w:rPr>
                      <w:sz w:val="16"/>
                    </w:rPr>
                    <w:t>2,197 ms</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sz w:val="16"/>
                    </w:rPr>
                    <w:t>2,207 ms</w:t>
                  </w:r>
                </w:p>
              </w:tc>
            </w:tr>
            <w:tr>
              <w:tc>
                <w:tcPr>
                  <w:tcW w:type="dxa" w:w="2448"/>
                  <w:tcBorders>
                    <w:top w:val="single" w:sz="4" w:space="0" w:color="000000"/>
                    <w:left w:val="single" w:sz="4" w:space="0" w:color="000000"/>
                    <w:bottom w:val="single" w:sz="4" w:space="0" w:color="000000"/>
                    <w:right w:val="single" w:sz="4" w:space="0" w:color="000000"/>
                  </w:tcBorders>
                </w:tcPr>
                <w:p>
                  <w:r>
                    <w:rPr>
                      <w:sz w:val="16"/>
                    </w:rPr>
                    <w:t>Async (event-driven)</w:t>
                  </w:r>
                </w:p>
              </w:tc>
              <w:tc>
                <w:tcPr>
                  <w:tcW w:type="dxa" w:w="1296"/>
                  <w:tcBorders>
                    <w:top w:val="single" w:sz="4" w:space="0" w:color="000000"/>
                    <w:left w:val="single" w:sz="4" w:space="0" w:color="000000"/>
                    <w:bottom w:val="single" w:sz="4" w:space="0" w:color="000000"/>
                    <w:right w:val="single" w:sz="4" w:space="0" w:color="000000"/>
                  </w:tcBorders>
                </w:tcPr>
                <w:p>
                  <w:pPr>
                    <w:jc w:val="center"/>
                  </w:pPr>
                  <w:r>
                    <w:rPr>
                      <w:b/>
                      <w:color w:val="166534"/>
                      <w:sz w:val="16"/>
                    </w:rPr>
                    <w:t>24 ms</w:t>
                  </w:r>
                </w:p>
              </w:tc>
              <w:tc>
                <w:tcPr>
                  <w:tcW w:type="dxa" w:w="1296"/>
                  <w:tcBorders>
                    <w:top w:val="single" w:sz="4" w:space="0" w:color="000000"/>
                    <w:left w:val="single" w:sz="4" w:space="0" w:color="000000"/>
                    <w:bottom w:val="single" w:sz="4" w:space="0" w:color="000000"/>
                    <w:right w:val="single" w:sz="4" w:space="0" w:color="000000"/>
                  </w:tcBorders>
                </w:tcPr>
                <w:p>
                  <w:pPr>
                    <w:jc w:val="center"/>
                  </w:pPr>
                  <w:r>
                    <w:rPr>
                      <w:b/>
                      <w:color w:val="166534"/>
                      <w:sz w:val="16"/>
                    </w:rPr>
                    <w:t>18 ms</w:t>
                  </w:r>
                </w:p>
              </w:tc>
              <w:tc>
                <w:tcPr>
                  <w:tcW w:type="dxa" w:w="1296"/>
                  <w:tcBorders>
                    <w:top w:val="single" w:sz="4" w:space="0" w:color="000000"/>
                    <w:left w:val="single" w:sz="4" w:space="0" w:color="000000"/>
                    <w:bottom w:val="single" w:sz="4" w:space="0" w:color="000000"/>
                    <w:right w:val="single" w:sz="4" w:space="0" w:color="000000"/>
                  </w:tcBorders>
                </w:tcPr>
                <w:p>
                  <w:pPr>
                    <w:jc w:val="center"/>
                  </w:pPr>
                  <w:r>
                    <w:rPr>
                      <w:b/>
                      <w:color w:val="166534"/>
                      <w:sz w:val="16"/>
                    </w:rPr>
                    <w:t>16 ms</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b/>
                      <w:color w:val="166534"/>
                      <w:sz w:val="16"/>
                    </w:rPr>
                    <w:t>19 ms</w:t>
                  </w:r>
                </w:p>
              </w:tc>
            </w:tr>
            <w:tr>
              <w:tc>
                <w:tcPr>
                  <w:tcW w:type="dxa" w:w="2448"/>
                  <w:tcBorders>
                    <w:top w:val="single" w:sz="4" w:space="0" w:color="000000"/>
                    <w:left w:val="single" w:sz="4" w:space="0" w:color="000000"/>
                    <w:bottom w:val="single" w:sz="4" w:space="0" w:color="000000"/>
                    <w:right w:val="single" w:sz="4" w:space="0" w:color="000000"/>
                  </w:tcBorders>
                </w:tcPr>
                <w:p>
                  <w:r>
                    <w:rPr>
                      <w:sz w:val="16"/>
                    </w:rPr>
                    <w:t>Performance Difference</w:t>
                  </w:r>
                </w:p>
              </w:tc>
              <w:tc>
                <w:tcPr>
                  <w:tcW w:type="dxa" w:w="1296"/>
                  <w:tcBorders>
                    <w:top w:val="single" w:sz="4" w:space="0" w:color="000000"/>
                    <w:left w:val="single" w:sz="4" w:space="0" w:color="000000"/>
                    <w:bottom w:val="single" w:sz="4" w:space="0" w:color="000000"/>
                    <w:right w:val="single" w:sz="4" w:space="0" w:color="000000"/>
                  </w:tcBorders>
                </w:tcPr>
                <w:p>
                  <w:pPr>
                    <w:jc w:val="center"/>
                  </w:pPr>
                  <w:r>
                    <w:rPr>
                      <w:b/>
                      <w:color w:val="166534"/>
                      <w:sz w:val="16"/>
                    </w:rPr>
                    <w:t>-2,194 ms</w:t>
                  </w:r>
                </w:p>
              </w:tc>
              <w:tc>
                <w:tcPr>
                  <w:tcW w:type="dxa" w:w="1296"/>
                  <w:tcBorders>
                    <w:top w:val="single" w:sz="4" w:space="0" w:color="000000"/>
                    <w:left w:val="single" w:sz="4" w:space="0" w:color="000000"/>
                    <w:bottom w:val="single" w:sz="4" w:space="0" w:color="000000"/>
                    <w:right w:val="single" w:sz="4" w:space="0" w:color="000000"/>
                  </w:tcBorders>
                </w:tcPr>
                <w:p>
                  <w:pPr>
                    <w:jc w:val="center"/>
                  </w:pPr>
                  <w:r>
                    <w:rPr>
                      <w:b/>
                      <w:color w:val="166534"/>
                      <w:sz w:val="16"/>
                    </w:rPr>
                    <w:t>-2,187 ms</w:t>
                  </w:r>
                </w:p>
              </w:tc>
              <w:tc>
                <w:tcPr>
                  <w:tcW w:type="dxa" w:w="1296"/>
                  <w:tcBorders>
                    <w:top w:val="single" w:sz="4" w:space="0" w:color="000000"/>
                    <w:left w:val="single" w:sz="4" w:space="0" w:color="000000"/>
                    <w:bottom w:val="single" w:sz="4" w:space="0" w:color="000000"/>
                    <w:right w:val="single" w:sz="4" w:space="0" w:color="000000"/>
                  </w:tcBorders>
                </w:tcPr>
                <w:p>
                  <w:pPr>
                    <w:jc w:val="center"/>
                  </w:pPr>
                  <w:r>
                    <w:rPr>
                      <w:b/>
                      <w:color w:val="166534"/>
                      <w:sz w:val="16"/>
                    </w:rPr>
                    <w:t>-2,181 ms</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b/>
                      <w:color w:val="166534"/>
                      <w:sz w:val="16"/>
                    </w:rPr>
                    <w:t>-2,188 ms (99.1%)</w:t>
                  </w:r>
                </w:p>
              </w:tc>
            </w:tr>
          </w:tbl>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Key Questions / Analysis:</w:t>
            </w:r>
          </w:p>
        </w:tc>
        <w:tc>
          <w:tcPr>
            <w:tcW w:type="dxa" w:w="8136"/>
            <w:tcBorders>
              <w:top w:val="single" w:sz="6" w:space="0" w:color="000000"/>
              <w:left w:val="single" w:sz="6" w:space="0" w:color="000000"/>
              <w:bottom w:val="single" w:sz="6" w:space="0" w:color="000000"/>
              <w:right w:val="single" w:sz="6" w:space="0" w:color="000000"/>
            </w:tcBorders>
          </w:tcPr>
          <w:p>
            <w:pPr>
              <w:spacing w:before="40" w:after="40"/>
            </w:pPr>
          </w:p>
          <w:p>
            <w:pPr>
              <w:spacing w:before="40" w:after="20"/>
            </w:pPr>
            <w:r>
              <w:rPr>
                <w:b/>
                <w:sz w:val="19"/>
              </w:rPr>
              <w:t xml:space="preserve">  How does the EventEmitter decouple the request-response cycle from slow background tasks?</w:t>
              <w:br/>
            </w:r>
            <w:r>
              <w:rPr>
                <w:sz w:val="18"/>
              </w:rPr>
              <w:t>The EventEmitter acts as a message bus between the HTTP controller and background services. When the controller calls appEmitter.emit('messageReceived', doc), it places the event on the event loop and returns immediately without waiting for any listener to finish. The listeners execute asynchronously in their own microtask context, so the 2-second email simulation runs entirely after the 201 response has already been sent to the client. This decoupling means the client never experiences the latency of background operations.</w:t>
            </w:r>
          </w:p>
          <w:p>
            <w:pPr>
              <w:spacing w:before="40" w:after="20"/>
            </w:pPr>
            <w:r>
              <w:rPr>
                <w:b/>
                <w:sz w:val="19"/>
              </w:rPr>
              <w:t xml:space="preserve">  What happens if a background event listener throws an unhandled error? How did you prevent it from crashing the server?</w:t>
              <w:br/>
            </w:r>
            <w:r>
              <w:rPr>
                <w:sz w:val="18"/>
              </w:rPr>
              <w:t>If a listener throws an unhandled error inside an EventEmitter, by default Node.js would emit an 'error' event, and if uncaught, crash the process. I prevented this by wrapping every listener body in a try/catch block. The /api/messages/fault-test endpoint proves this: it emits 'testFaultyListener' which throws internally, but the error is caught and logged gracefully. The HTTP response still returns 201, and the server process continues running without interruption.</w:t>
            </w:r>
          </w:p>
          <w:p>
            <w:pPr>
              <w:spacing w:before="40" w:after="20"/>
            </w:pPr>
            <w:r>
              <w:rPr>
                <w:b/>
                <w:sz w:val="19"/>
              </w:rPr>
              <w:t xml:space="preserve">  Why is this pattern superior to simply using setTimeout or setImmediate for background work?</w:t>
              <w:br/>
            </w:r>
            <w:r>
              <w:rPr>
                <w:sz w:val="18"/>
              </w:rPr>
              <w:t>EventEmitter provides a structured, named-event architecture that separates concerns cleanly. With setTimeout, the background logic is tightly coupled to the controller function. With EventEmitter, multiple independent listeners can subscribe to the same event (e.g., both email dispatch and audit logging listen to 'messageReceived'), new listeners can be added without modifying the controller, and the pattern scales to complex workflows. It also aligns with Node.js conventions and makes the codebase more testable and maintainable.</w:t>
            </w:r>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Github Repo Link:</w:t>
            </w:r>
          </w:p>
        </w:tc>
        <w:tc>
          <w:tcPr>
            <w:tcW w:type="dxa" w:w="8136"/>
            <w:tcBorders>
              <w:top w:val="single" w:sz="6" w:space="0" w:color="000000"/>
              <w:left w:val="single" w:sz="6" w:space="0" w:color="000000"/>
              <w:bottom w:val="single" w:sz="6" w:space="0" w:color="000000"/>
              <w:right w:val="single" w:sz="6" w:space="0" w:color="000000"/>
            </w:tcBorders>
          </w:tcPr>
          <w:p>
            <w:pPr>
              <w:spacing w:before="40" w:after="40"/>
            </w:pPr>
            <w:r>
              <w:rPr>
                <w:b/>
                <w:sz w:val="20"/>
              </w:rPr>
              <w:t>https://github.com/tirth266/myportfolio.git</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