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understand that Jane Doe wishes to access legal aid for a family dispute as a victim of domestic violence. For this reason, I have been asked to provide a letter in accordance with regulation 33 and schedule 1 of the Civil Legal Aid (Procedure) Regulations 2012 (as amended).</w:t>
      </w:r>
    </w:p>
    <w:p>
      <w:r>
        <w:t>I can confirm that our organisation is situated in England and Wales and has been operating for an uninterrupted period of six months or more.</w:t>
      </w:r>
    </w:p>
    <w:p>
      <w:r>
        <w:t>I can confirm that we have provided Jane Doe support in relation to their needs as a victim, or person at risk of domestic violence.</w:t>
      </w:r>
    </w:p>
    <w:p>
      <w:r>
        <w:t>In my reasonable professional judgement Jane Doe was a victim, or a person at risk of domestic violence.</w:t>
      </w:r>
    </w:p>
    <w:p>
      <w:r>
        <w:t>The matters I have relied upon to support that judgement are: disclosures surrounding emotional, physical and psychological abuse with coercive and controlling behaviour.</w:t>
      </w:r>
    </w:p>
    <w:p>
      <w:r>
        <w:t>We have provided Jane Doe with the following support: risk assessment, safety planning and referrals for emotional support.</w:t>
      </w:r>
    </w:p>
    <w:p>
      <w:r>
        <w:t>Jane Doe needed this support because she is a victim, or a person at risk of domestic abuse from her ex-partner.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