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47CFC" w14:textId="37BF1F03" w:rsidR="008E4E9B" w:rsidRPr="008E4E9B" w:rsidRDefault="008E4E9B" w:rsidP="008E4E9B">
      <w:pPr>
        <w:rPr>
          <w:b/>
          <w:bCs/>
          <w:sz w:val="36"/>
          <w:szCs w:val="36"/>
        </w:rPr>
      </w:pPr>
      <w:r>
        <w:rPr>
          <w:lang w:val="en-US"/>
        </w:rPr>
        <w:t xml:space="preserve">                        </w:t>
      </w:r>
      <w:r w:rsidR="00944280">
        <w:rPr>
          <w:lang w:val="en-US"/>
        </w:rPr>
        <w:t xml:space="preserve">                  </w:t>
      </w:r>
      <w:r>
        <w:rPr>
          <w:lang w:val="en-US"/>
        </w:rPr>
        <w:t xml:space="preserve">  </w:t>
      </w:r>
      <w:r w:rsidRPr="008E4E9B">
        <w:rPr>
          <w:b/>
          <w:bCs/>
          <w:sz w:val="36"/>
          <w:szCs w:val="36"/>
        </w:rPr>
        <w:t>Exploratory Data Analysis (EDA)</w:t>
      </w:r>
    </w:p>
    <w:p w14:paraId="65F191AF" w14:textId="7C5B5CBF" w:rsidR="0026336B" w:rsidRDefault="008E4E9B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</w:t>
      </w:r>
      <w:r w:rsidR="00944280">
        <w:rPr>
          <w:b/>
          <w:bCs/>
          <w:sz w:val="36"/>
          <w:szCs w:val="36"/>
          <w:lang w:val="en-US"/>
        </w:rPr>
        <w:t xml:space="preserve">          </w:t>
      </w:r>
      <w:r w:rsidRPr="008E4E9B">
        <w:rPr>
          <w:b/>
          <w:bCs/>
          <w:sz w:val="36"/>
          <w:szCs w:val="36"/>
          <w:lang w:val="en-US"/>
        </w:rPr>
        <w:t>Documentation</w:t>
      </w:r>
    </w:p>
    <w:p w14:paraId="599B18E9" w14:textId="77777777" w:rsidR="008E4E9B" w:rsidRDefault="008E4E9B">
      <w:pPr>
        <w:rPr>
          <w:b/>
          <w:bCs/>
          <w:sz w:val="36"/>
          <w:szCs w:val="36"/>
          <w:lang w:val="en-US"/>
        </w:rPr>
      </w:pPr>
    </w:p>
    <w:p w14:paraId="7E510B3F" w14:textId="223057BA" w:rsidR="008E4E9B" w:rsidRPr="008B33E7" w:rsidRDefault="008E4E9B" w:rsidP="008E4E9B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8B33E7">
        <w:rPr>
          <w:b/>
          <w:bCs/>
          <w:sz w:val="28"/>
          <w:szCs w:val="28"/>
        </w:rPr>
        <w:t>NAV trend analysis — plot daily NAV for all 40 schemes 2022–2026. Highlight 2023 bull run and 2024 market corrections using Plotly.</w:t>
      </w:r>
      <w:r w:rsidRPr="008B33E7">
        <w:rPr>
          <w:b/>
          <w:bCs/>
          <w:sz w:val="28"/>
          <w:szCs w:val="28"/>
        </w:rPr>
        <w:t xml:space="preserve">  </w:t>
      </w:r>
    </w:p>
    <w:p w14:paraId="75031805" w14:textId="219A5E02" w:rsidR="008E4E9B" w:rsidRPr="008E4E9B" w:rsidRDefault="008E4E9B" w:rsidP="008E4E9B">
      <w:pPr>
        <w:ind w:left="720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3A1537E3" wp14:editId="54A31D1A">
            <wp:extent cx="4838700" cy="2674620"/>
            <wp:effectExtent l="0" t="0" r="0" b="0"/>
            <wp:docPr id="206034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47437" name="Picture 20603474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394E" w14:textId="67E7EA60" w:rsidR="008E4E9B" w:rsidRPr="00944280" w:rsidRDefault="008E4E9B">
      <w:pPr>
        <w:rPr>
          <w:sz w:val="24"/>
          <w:szCs w:val="24"/>
          <w:lang w:val="en-US"/>
        </w:rPr>
      </w:pPr>
      <w:r w:rsidRPr="00944280">
        <w:rPr>
          <w:sz w:val="24"/>
          <w:szCs w:val="24"/>
          <w:lang w:val="en-US"/>
        </w:rPr>
        <w:t xml:space="preserve">      </w:t>
      </w:r>
      <w:r w:rsidR="00944280" w:rsidRPr="00944280">
        <w:rPr>
          <w:sz w:val="24"/>
          <w:szCs w:val="24"/>
        </w:rPr>
        <w:t>The graph highlights a steady rise in daily NAV values from 2022 to 2026, with a sharp bull run in 2023, a correction in 2024, and recovery afterward, reflecting overall long</w:t>
      </w:r>
      <w:r w:rsidR="00944280" w:rsidRPr="00944280">
        <w:rPr>
          <w:sz w:val="24"/>
          <w:szCs w:val="24"/>
        </w:rPr>
        <w:noBreakHyphen/>
        <w:t>term growth.</w:t>
      </w:r>
    </w:p>
    <w:p w14:paraId="5E03515D" w14:textId="77777777" w:rsidR="008B33E7" w:rsidRDefault="008E4E9B" w:rsidP="008B33E7">
      <w:pPr>
        <w:ind w:left="360"/>
        <w:rPr>
          <w:sz w:val="28"/>
          <w:szCs w:val="28"/>
        </w:rPr>
      </w:pPr>
      <w:r>
        <w:rPr>
          <w:b/>
          <w:bCs/>
          <w:sz w:val="36"/>
          <w:szCs w:val="36"/>
        </w:rPr>
        <w:t>2.</w:t>
      </w:r>
      <w:r w:rsidRPr="008B33E7">
        <w:rPr>
          <w:b/>
          <w:bCs/>
          <w:sz w:val="28"/>
          <w:szCs w:val="28"/>
        </w:rPr>
        <w:t xml:space="preserve">AUM growth bar chart — grouped bar by fund house for each year 2022–2025. Highlight SBI at ₹12.5L Cr </w:t>
      </w:r>
      <w:r w:rsidR="008B33E7" w:rsidRPr="008B33E7">
        <w:rPr>
          <w:b/>
          <w:bCs/>
          <w:sz w:val="28"/>
          <w:szCs w:val="28"/>
        </w:rPr>
        <w:t>dominance using Seaborn</w:t>
      </w:r>
    </w:p>
    <w:p w14:paraId="0B571CED" w14:textId="77777777" w:rsidR="008B33E7" w:rsidRDefault="008B33E7" w:rsidP="008B33E7">
      <w:pPr>
        <w:ind w:left="360"/>
        <w:rPr>
          <w:sz w:val="28"/>
          <w:szCs w:val="28"/>
        </w:rPr>
      </w:pPr>
    </w:p>
    <w:p w14:paraId="730B4B8A" w14:textId="77777777" w:rsidR="00FA63FC" w:rsidRDefault="00FA63FC" w:rsidP="00FA63FC">
      <w:pPr>
        <w:ind w:left="360"/>
        <w:rPr>
          <w:sz w:val="28"/>
          <w:szCs w:val="28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4B732540" wp14:editId="6A18434E">
            <wp:extent cx="4711459" cy="2297723"/>
            <wp:effectExtent l="0" t="0" r="0" b="7620"/>
            <wp:docPr id="11997999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99989" name="Picture 119979998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3701" cy="234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0831" w14:textId="03B933F7" w:rsidR="008B33E7" w:rsidRPr="00FA63FC" w:rsidRDefault="008B33E7" w:rsidP="00FA63FC">
      <w:pPr>
        <w:rPr>
          <w:sz w:val="28"/>
          <w:szCs w:val="28"/>
        </w:rPr>
      </w:pPr>
      <w:r w:rsidRPr="008B33E7">
        <w:rPr>
          <w:sz w:val="28"/>
          <w:szCs w:val="28"/>
        </w:rPr>
        <w:t>Several mutual funds exhibited temporary declines during 2024, indicating periods of market correction.</w:t>
      </w:r>
    </w:p>
    <w:p w14:paraId="4AC9D9B6" w14:textId="77777777" w:rsidR="008B33E7" w:rsidRDefault="008B33E7" w:rsidP="008B33E7">
      <w:pPr>
        <w:ind w:left="360"/>
        <w:rPr>
          <w:sz w:val="28"/>
          <w:szCs w:val="28"/>
        </w:rPr>
      </w:pPr>
    </w:p>
    <w:p w14:paraId="6E005D86" w14:textId="0552C03E" w:rsidR="008B33E7" w:rsidRPr="00FA63FC" w:rsidRDefault="008B33E7" w:rsidP="00FA63F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FA63FC">
        <w:rPr>
          <w:b/>
          <w:bCs/>
          <w:sz w:val="28"/>
          <w:szCs w:val="28"/>
        </w:rPr>
        <w:lastRenderedPageBreak/>
        <w:t>SIP inflow time-series — monthly SIP trend Jan 2022 – Dec 2025. Annotate the ₹31,002 Cr all-time high (Dec 2025) using Plotly</w:t>
      </w:r>
      <w:r w:rsidRPr="00FA63FC">
        <w:rPr>
          <w:sz w:val="28"/>
          <w:szCs w:val="28"/>
        </w:rPr>
        <w:t>.</w:t>
      </w:r>
    </w:p>
    <w:p w14:paraId="7CB9F757" w14:textId="77777777" w:rsidR="00FA63FC" w:rsidRPr="00FA63FC" w:rsidRDefault="00FA63FC" w:rsidP="00FA63FC">
      <w:pPr>
        <w:pStyle w:val="ListParagraph"/>
        <w:rPr>
          <w:sz w:val="28"/>
          <w:szCs w:val="28"/>
        </w:rPr>
      </w:pPr>
    </w:p>
    <w:p w14:paraId="11D5AF44" w14:textId="005116DA" w:rsidR="008B33E7" w:rsidRDefault="008B33E7" w:rsidP="008B33E7">
      <w:pPr>
        <w:ind w:left="36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1E667E9" wp14:editId="47C89AE8">
            <wp:extent cx="5273040" cy="2887980"/>
            <wp:effectExtent l="0" t="0" r="3810" b="7620"/>
            <wp:docPr id="6723285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28593" name="Picture 6723285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9631" w14:textId="5A45C9EF" w:rsidR="008B33E7" w:rsidRDefault="008B33E7" w:rsidP="008B33E7">
      <w:pPr>
        <w:ind w:left="360"/>
        <w:rPr>
          <w:sz w:val="28"/>
          <w:szCs w:val="28"/>
        </w:rPr>
      </w:pPr>
      <w:r w:rsidRPr="008B33E7">
        <w:rPr>
          <w:sz w:val="28"/>
          <w:szCs w:val="28"/>
        </w:rPr>
        <w:t>Monthly SIP inflows showed a consistent upward trend and reached a record ₹31,002 crore in December 2025.</w:t>
      </w:r>
    </w:p>
    <w:p w14:paraId="0F9B6D1C" w14:textId="77777777" w:rsidR="008B33E7" w:rsidRDefault="008B33E7" w:rsidP="008B33E7">
      <w:pPr>
        <w:ind w:left="360"/>
        <w:rPr>
          <w:sz w:val="28"/>
          <w:szCs w:val="28"/>
        </w:rPr>
      </w:pPr>
    </w:p>
    <w:p w14:paraId="02693DB9" w14:textId="57C9CA09" w:rsidR="008B33E7" w:rsidRDefault="008B33E7" w:rsidP="008B33E7">
      <w:pPr>
        <w:ind w:left="360"/>
        <w:rPr>
          <w:b/>
          <w:bCs/>
          <w:sz w:val="28"/>
          <w:szCs w:val="28"/>
        </w:rPr>
      </w:pPr>
      <w:r>
        <w:rPr>
          <w:sz w:val="28"/>
          <w:szCs w:val="28"/>
        </w:rPr>
        <w:t>4.</w:t>
      </w:r>
      <w:r w:rsidRPr="008B33E7">
        <w:rPr>
          <w:b/>
          <w:bCs/>
          <w:sz w:val="28"/>
          <w:szCs w:val="28"/>
        </w:rPr>
        <w:t>Category inflow heatmap — months on X-axis, fund categories on Y-axis, net inflow as colour intensity using Seaborn.</w:t>
      </w:r>
    </w:p>
    <w:p w14:paraId="2A00D1F7" w14:textId="62FFC2C0" w:rsidR="008B33E7" w:rsidRPr="008B33E7" w:rsidRDefault="008B33E7" w:rsidP="008B33E7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8DF2296" wp14:editId="7185F52D">
            <wp:extent cx="5349240" cy="2732405"/>
            <wp:effectExtent l="0" t="0" r="3810" b="0"/>
            <wp:docPr id="2549925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992502" name="Picture 2549925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D1DDA" w14:textId="570286C2" w:rsidR="008B33E7" w:rsidRDefault="008B33E7" w:rsidP="008B33E7">
      <w:pPr>
        <w:ind w:left="360"/>
        <w:rPr>
          <w:sz w:val="28"/>
          <w:szCs w:val="28"/>
        </w:rPr>
      </w:pPr>
      <w:r w:rsidRPr="008B33E7">
        <w:rPr>
          <w:sz w:val="28"/>
          <w:szCs w:val="28"/>
        </w:rPr>
        <w:t>The number of mutual fund folios nearly doubled between January 2022 and December 2025, indicating rapid growth in investor participation.</w:t>
      </w:r>
    </w:p>
    <w:p w14:paraId="4F45A2C8" w14:textId="77777777" w:rsidR="008B33E7" w:rsidRDefault="008B33E7" w:rsidP="008B33E7">
      <w:pPr>
        <w:ind w:left="360"/>
        <w:rPr>
          <w:sz w:val="28"/>
          <w:szCs w:val="28"/>
        </w:rPr>
      </w:pPr>
    </w:p>
    <w:p w14:paraId="5DCF8A57" w14:textId="77777777" w:rsidR="00944280" w:rsidRDefault="00944280" w:rsidP="008B33E7">
      <w:pPr>
        <w:ind w:left="360"/>
        <w:rPr>
          <w:sz w:val="28"/>
          <w:szCs w:val="28"/>
        </w:rPr>
      </w:pPr>
    </w:p>
    <w:p w14:paraId="64187455" w14:textId="056C9199" w:rsidR="008B33E7" w:rsidRDefault="008B33E7" w:rsidP="008B33E7">
      <w:pPr>
        <w:rPr>
          <w:b/>
          <w:bCs/>
          <w:sz w:val="28"/>
          <w:szCs w:val="28"/>
        </w:rPr>
      </w:pPr>
      <w:r>
        <w:rPr>
          <w:sz w:val="28"/>
          <w:szCs w:val="28"/>
        </w:rPr>
        <w:lastRenderedPageBreak/>
        <w:t>5.</w:t>
      </w:r>
      <w:r w:rsidRPr="008B33E7">
        <w:rPr>
          <w:rFonts w:ascii="Arial" w:eastAsia="Times New Roman" w:hAnsi="Arial" w:cs="Arial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8B33E7">
        <w:rPr>
          <w:b/>
          <w:bCs/>
          <w:sz w:val="28"/>
          <w:szCs w:val="28"/>
        </w:rPr>
        <w:t>Investor demographics — age group distribution pie chart. SIP amount box plot by age group. Gender split.</w:t>
      </w:r>
    </w:p>
    <w:p w14:paraId="13AC05EA" w14:textId="3D0BD815" w:rsidR="008B33E7" w:rsidRPr="008B33E7" w:rsidRDefault="00756FB2" w:rsidP="008B33E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A6D7BF8" wp14:editId="50C3451C">
            <wp:simplePos x="0" y="0"/>
            <wp:positionH relativeFrom="column">
              <wp:posOffset>873369</wp:posOffset>
            </wp:positionH>
            <wp:positionV relativeFrom="paragraph">
              <wp:posOffset>-635</wp:posOffset>
            </wp:positionV>
            <wp:extent cx="3070518" cy="3663025"/>
            <wp:effectExtent l="0" t="0" r="0" b="0"/>
            <wp:wrapTight wrapText="bothSides">
              <wp:wrapPolygon edited="0">
                <wp:start x="0" y="0"/>
                <wp:lineTo x="0" y="21458"/>
                <wp:lineTo x="21444" y="21458"/>
                <wp:lineTo x="21444" y="0"/>
                <wp:lineTo x="0" y="0"/>
              </wp:wrapPolygon>
            </wp:wrapTight>
            <wp:docPr id="1046268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68674" name="Picture 10462686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518" cy="3663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A0922" w14:textId="1933D791" w:rsidR="008B33E7" w:rsidRDefault="008B33E7" w:rsidP="008B33E7">
      <w:pPr>
        <w:ind w:left="360"/>
        <w:rPr>
          <w:sz w:val="28"/>
          <w:szCs w:val="28"/>
          <w:lang w:val="en-US"/>
        </w:rPr>
      </w:pPr>
    </w:p>
    <w:p w14:paraId="0998C79D" w14:textId="77777777" w:rsidR="00756FB2" w:rsidRDefault="00756FB2" w:rsidP="008B33E7">
      <w:pPr>
        <w:ind w:left="360"/>
        <w:rPr>
          <w:sz w:val="28"/>
          <w:szCs w:val="28"/>
          <w:lang w:val="en-US"/>
        </w:rPr>
      </w:pPr>
    </w:p>
    <w:p w14:paraId="267F7059" w14:textId="77777777" w:rsidR="00756FB2" w:rsidRDefault="00756FB2" w:rsidP="008B33E7">
      <w:pPr>
        <w:ind w:left="360"/>
        <w:rPr>
          <w:sz w:val="28"/>
          <w:szCs w:val="28"/>
          <w:lang w:val="en-US"/>
        </w:rPr>
      </w:pPr>
    </w:p>
    <w:p w14:paraId="33456E63" w14:textId="77777777" w:rsidR="00756FB2" w:rsidRDefault="00756FB2" w:rsidP="008B33E7">
      <w:pPr>
        <w:ind w:left="360"/>
        <w:rPr>
          <w:sz w:val="28"/>
          <w:szCs w:val="28"/>
          <w:lang w:val="en-US"/>
        </w:rPr>
      </w:pPr>
    </w:p>
    <w:p w14:paraId="230819E1" w14:textId="77777777" w:rsidR="00756FB2" w:rsidRDefault="00756FB2" w:rsidP="008B33E7">
      <w:pPr>
        <w:ind w:left="360"/>
        <w:rPr>
          <w:sz w:val="28"/>
          <w:szCs w:val="28"/>
          <w:lang w:val="en-US"/>
        </w:rPr>
      </w:pPr>
    </w:p>
    <w:p w14:paraId="045390BF" w14:textId="77777777" w:rsidR="00756FB2" w:rsidRDefault="00756FB2" w:rsidP="008B33E7">
      <w:pPr>
        <w:ind w:left="360"/>
        <w:rPr>
          <w:sz w:val="28"/>
          <w:szCs w:val="28"/>
          <w:lang w:val="en-US"/>
        </w:rPr>
      </w:pPr>
    </w:p>
    <w:p w14:paraId="24179523" w14:textId="77777777" w:rsidR="00756FB2" w:rsidRDefault="00756FB2" w:rsidP="008B33E7">
      <w:pPr>
        <w:ind w:left="360"/>
        <w:rPr>
          <w:sz w:val="28"/>
          <w:szCs w:val="28"/>
          <w:lang w:val="en-US"/>
        </w:rPr>
      </w:pPr>
    </w:p>
    <w:p w14:paraId="09068291" w14:textId="77777777" w:rsidR="00756FB2" w:rsidRDefault="00756FB2" w:rsidP="008B33E7">
      <w:pPr>
        <w:ind w:left="360"/>
        <w:rPr>
          <w:sz w:val="28"/>
          <w:szCs w:val="28"/>
          <w:lang w:val="en-US"/>
        </w:rPr>
      </w:pPr>
    </w:p>
    <w:p w14:paraId="74271B89" w14:textId="77777777" w:rsidR="00756FB2" w:rsidRDefault="00756FB2" w:rsidP="008B33E7">
      <w:pPr>
        <w:ind w:left="360"/>
        <w:rPr>
          <w:sz w:val="28"/>
          <w:szCs w:val="28"/>
          <w:lang w:val="en-US"/>
        </w:rPr>
      </w:pPr>
    </w:p>
    <w:p w14:paraId="274F7D4E" w14:textId="77777777" w:rsidR="00756FB2" w:rsidRDefault="00756FB2" w:rsidP="008B33E7">
      <w:pPr>
        <w:ind w:left="360"/>
        <w:rPr>
          <w:sz w:val="28"/>
          <w:szCs w:val="28"/>
          <w:lang w:val="en-US"/>
        </w:rPr>
      </w:pPr>
    </w:p>
    <w:p w14:paraId="667C7EE8" w14:textId="77777777" w:rsidR="00756FB2" w:rsidRDefault="00756FB2" w:rsidP="008B33E7">
      <w:pPr>
        <w:ind w:left="360"/>
        <w:rPr>
          <w:sz w:val="28"/>
          <w:szCs w:val="28"/>
          <w:lang w:val="en-US"/>
        </w:rPr>
      </w:pPr>
    </w:p>
    <w:p w14:paraId="46504476" w14:textId="105F2EEC" w:rsidR="00756FB2" w:rsidRDefault="00756FB2" w:rsidP="00756FB2">
      <w:pPr>
        <w:rPr>
          <w:sz w:val="28"/>
          <w:szCs w:val="28"/>
        </w:rPr>
      </w:pPr>
      <w:r w:rsidRPr="00756FB2">
        <w:rPr>
          <w:sz w:val="28"/>
          <w:szCs w:val="28"/>
        </w:rPr>
        <w:t>By observing the above pie chart, most investors are distributed in the age group of 26–35.</w:t>
      </w:r>
    </w:p>
    <w:p w14:paraId="01A4A8B0" w14:textId="6D658E68" w:rsidR="00FA63FC" w:rsidRDefault="00FA63FC" w:rsidP="00756FB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5.2-</w:t>
      </w:r>
      <w:r w:rsidRPr="008B33E7">
        <w:rPr>
          <w:b/>
          <w:bCs/>
          <w:sz w:val="28"/>
          <w:szCs w:val="28"/>
        </w:rPr>
        <w:t>SIP amount box plot by age group</w:t>
      </w:r>
    </w:p>
    <w:p w14:paraId="6A005EC0" w14:textId="6CDBC638" w:rsidR="00756FB2" w:rsidRDefault="00756FB2" w:rsidP="00756FB2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E402211" wp14:editId="35C22CB7">
            <wp:extent cx="5321935" cy="3253154"/>
            <wp:effectExtent l="0" t="0" r="0" b="4445"/>
            <wp:docPr id="3909318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31860" name="Picture 39093186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3404" cy="328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E17C" w14:textId="45ACF1D9" w:rsidR="00756FB2" w:rsidRDefault="00756FB2" w:rsidP="008B33E7">
      <w:pPr>
        <w:ind w:left="360"/>
        <w:rPr>
          <w:sz w:val="28"/>
          <w:szCs w:val="28"/>
        </w:rPr>
      </w:pPr>
      <w:r w:rsidRPr="00756FB2">
        <w:rPr>
          <w:sz w:val="28"/>
          <w:szCs w:val="28"/>
        </w:rPr>
        <w:t xml:space="preserve">Most investors belong to the </w:t>
      </w:r>
      <w:r w:rsidRPr="00756FB2">
        <w:rPr>
          <w:b/>
          <w:bCs/>
          <w:sz w:val="28"/>
          <w:szCs w:val="28"/>
        </w:rPr>
        <w:t>26–35 age group</w:t>
      </w:r>
      <w:r w:rsidRPr="00756FB2">
        <w:rPr>
          <w:sz w:val="28"/>
          <w:szCs w:val="28"/>
        </w:rPr>
        <w:t>, showing the highest SIP investment activity.</w:t>
      </w:r>
    </w:p>
    <w:p w14:paraId="24799C27" w14:textId="77777777" w:rsidR="00944280" w:rsidRDefault="00944280" w:rsidP="008B33E7">
      <w:pPr>
        <w:ind w:left="360"/>
        <w:rPr>
          <w:sz w:val="28"/>
          <w:szCs w:val="28"/>
        </w:rPr>
      </w:pPr>
    </w:p>
    <w:p w14:paraId="05B4D25F" w14:textId="77777777" w:rsidR="00944280" w:rsidRDefault="00944280" w:rsidP="008B33E7">
      <w:pPr>
        <w:ind w:left="360"/>
        <w:rPr>
          <w:sz w:val="28"/>
          <w:szCs w:val="28"/>
        </w:rPr>
      </w:pPr>
    </w:p>
    <w:p w14:paraId="7A8A197E" w14:textId="6D53E421" w:rsidR="00FA63FC" w:rsidRDefault="00FA63FC" w:rsidP="008B33E7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5.3-</w:t>
      </w:r>
      <w:r w:rsidRPr="008B33E7">
        <w:rPr>
          <w:b/>
          <w:bCs/>
          <w:sz w:val="28"/>
          <w:szCs w:val="28"/>
        </w:rPr>
        <w:t xml:space="preserve"> Gender split</w:t>
      </w:r>
    </w:p>
    <w:p w14:paraId="1715AAFB" w14:textId="6834BC8F" w:rsidR="00756FB2" w:rsidRDefault="00756FB2" w:rsidP="008B33E7">
      <w:pPr>
        <w:ind w:left="360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51C6CE79" wp14:editId="0EC980C8">
            <wp:simplePos x="0" y="0"/>
            <wp:positionH relativeFrom="column">
              <wp:posOffset>1148862</wp:posOffset>
            </wp:positionH>
            <wp:positionV relativeFrom="paragraph">
              <wp:posOffset>197143</wp:posOffset>
            </wp:positionV>
            <wp:extent cx="2757170" cy="2643505"/>
            <wp:effectExtent l="0" t="0" r="5080" b="4445"/>
            <wp:wrapTight wrapText="bothSides">
              <wp:wrapPolygon edited="0">
                <wp:start x="0" y="0"/>
                <wp:lineTo x="0" y="21481"/>
                <wp:lineTo x="21491" y="21481"/>
                <wp:lineTo x="21491" y="0"/>
                <wp:lineTo x="0" y="0"/>
              </wp:wrapPolygon>
            </wp:wrapTight>
            <wp:docPr id="13377724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72414" name="Picture 13377724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17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5983F" w14:textId="423E399B" w:rsidR="00756FB2" w:rsidRDefault="00756FB2" w:rsidP="008B33E7">
      <w:pPr>
        <w:ind w:left="360"/>
        <w:rPr>
          <w:sz w:val="28"/>
          <w:szCs w:val="28"/>
          <w:lang w:val="en-US"/>
        </w:rPr>
      </w:pPr>
    </w:p>
    <w:p w14:paraId="12EC0C15" w14:textId="77777777" w:rsidR="00756FB2" w:rsidRDefault="00756FB2" w:rsidP="008B33E7">
      <w:pPr>
        <w:ind w:left="360"/>
        <w:rPr>
          <w:sz w:val="28"/>
          <w:szCs w:val="28"/>
          <w:lang w:val="en-US"/>
        </w:rPr>
      </w:pPr>
    </w:p>
    <w:p w14:paraId="7A67893D" w14:textId="77777777" w:rsidR="00756FB2" w:rsidRDefault="00756FB2" w:rsidP="008B33E7">
      <w:pPr>
        <w:ind w:left="360"/>
        <w:rPr>
          <w:sz w:val="28"/>
          <w:szCs w:val="28"/>
          <w:lang w:val="en-US"/>
        </w:rPr>
      </w:pPr>
    </w:p>
    <w:p w14:paraId="7F93F398" w14:textId="77777777" w:rsidR="00756FB2" w:rsidRDefault="00756FB2" w:rsidP="008B33E7">
      <w:pPr>
        <w:ind w:left="360"/>
        <w:rPr>
          <w:sz w:val="28"/>
          <w:szCs w:val="28"/>
          <w:lang w:val="en-US"/>
        </w:rPr>
      </w:pPr>
    </w:p>
    <w:p w14:paraId="76B333F2" w14:textId="77777777" w:rsidR="00756FB2" w:rsidRDefault="00756FB2" w:rsidP="008B33E7">
      <w:pPr>
        <w:ind w:left="360"/>
        <w:rPr>
          <w:sz w:val="28"/>
          <w:szCs w:val="28"/>
          <w:lang w:val="en-US"/>
        </w:rPr>
      </w:pPr>
    </w:p>
    <w:p w14:paraId="59BF2054" w14:textId="77777777" w:rsidR="00756FB2" w:rsidRDefault="00756FB2" w:rsidP="008B33E7">
      <w:pPr>
        <w:ind w:left="360"/>
        <w:rPr>
          <w:sz w:val="28"/>
          <w:szCs w:val="28"/>
          <w:lang w:val="en-US"/>
        </w:rPr>
      </w:pPr>
    </w:p>
    <w:p w14:paraId="2EECBF19" w14:textId="77777777" w:rsidR="00756FB2" w:rsidRDefault="00756FB2" w:rsidP="008B33E7">
      <w:pPr>
        <w:ind w:left="360"/>
        <w:rPr>
          <w:sz w:val="28"/>
          <w:szCs w:val="28"/>
          <w:lang w:val="en-US"/>
        </w:rPr>
      </w:pPr>
    </w:p>
    <w:p w14:paraId="071CD063" w14:textId="77777777" w:rsidR="00756FB2" w:rsidRDefault="00756FB2" w:rsidP="008B33E7">
      <w:pPr>
        <w:ind w:left="360"/>
        <w:rPr>
          <w:sz w:val="28"/>
          <w:szCs w:val="28"/>
          <w:lang w:val="en-US"/>
        </w:rPr>
      </w:pPr>
    </w:p>
    <w:p w14:paraId="234B9978" w14:textId="0333BCBA" w:rsidR="00094F5A" w:rsidRDefault="00094F5A">
      <w:pPr>
        <w:ind w:left="360"/>
        <w:rPr>
          <w:sz w:val="28"/>
          <w:szCs w:val="28"/>
        </w:rPr>
      </w:pPr>
      <w:r w:rsidRPr="00094F5A">
        <w:rPr>
          <w:sz w:val="28"/>
          <w:szCs w:val="28"/>
        </w:rPr>
        <w:t>According to the pie chart analysis, males are the highest SIP investors</w:t>
      </w:r>
    </w:p>
    <w:p w14:paraId="4A7AF91C" w14:textId="77777777" w:rsidR="00FA63FC" w:rsidRDefault="00FA63FC">
      <w:pPr>
        <w:ind w:left="360"/>
        <w:rPr>
          <w:sz w:val="28"/>
          <w:szCs w:val="28"/>
        </w:rPr>
      </w:pPr>
    </w:p>
    <w:p w14:paraId="1C289EE9" w14:textId="7D800DD7" w:rsidR="00094F5A" w:rsidRPr="00094F5A" w:rsidRDefault="00094F5A" w:rsidP="00094F5A">
      <w:pPr>
        <w:rPr>
          <w:sz w:val="28"/>
          <w:szCs w:val="28"/>
        </w:rPr>
      </w:pPr>
      <w:r>
        <w:rPr>
          <w:sz w:val="28"/>
          <w:szCs w:val="28"/>
        </w:rPr>
        <w:t>6</w:t>
      </w:r>
      <w:r w:rsidRPr="00094F5A">
        <w:rPr>
          <w:b/>
          <w:bCs/>
          <w:sz w:val="28"/>
          <w:szCs w:val="28"/>
        </w:rPr>
        <w:t>.</w:t>
      </w:r>
      <w:r w:rsidRPr="00094F5A">
        <w:rPr>
          <w:rFonts w:ascii="Arial" w:eastAsia="Times New Roman" w:hAnsi="Arial" w:cs="Arial"/>
          <w:b/>
          <w:bCs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94F5A">
        <w:rPr>
          <w:b/>
          <w:bCs/>
          <w:sz w:val="28"/>
          <w:szCs w:val="28"/>
        </w:rPr>
        <w:t>Geographic distribution — horizontal bar chart of SIP amount by state. T30 vs B30 city tier pie chart</w:t>
      </w:r>
      <w:r w:rsidRPr="00094F5A">
        <w:rPr>
          <w:sz w:val="28"/>
          <w:szCs w:val="28"/>
        </w:rPr>
        <w:t>.</w:t>
      </w:r>
    </w:p>
    <w:p w14:paraId="75B87BAC" w14:textId="7DD8E046" w:rsidR="00094F5A" w:rsidRDefault="00094F5A">
      <w:pPr>
        <w:ind w:left="360"/>
        <w:rPr>
          <w:sz w:val="28"/>
          <w:szCs w:val="28"/>
        </w:rPr>
      </w:pPr>
      <w:r>
        <w:rPr>
          <w:sz w:val="28"/>
          <w:szCs w:val="28"/>
        </w:rPr>
        <w:t>6.1-</w:t>
      </w:r>
      <w:r w:rsidRPr="00094F5A">
        <w:rPr>
          <w:sz w:val="28"/>
          <w:szCs w:val="28"/>
        </w:rPr>
        <w:t>horizontal bar chart of SIP amount by state</w:t>
      </w:r>
    </w:p>
    <w:p w14:paraId="79CF9998" w14:textId="29F82AD7" w:rsidR="00094F5A" w:rsidRDefault="00094F5A">
      <w:pPr>
        <w:ind w:left="360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309044CF" wp14:editId="63482D0A">
            <wp:extent cx="5731510" cy="2954215"/>
            <wp:effectExtent l="0" t="0" r="2540" b="0"/>
            <wp:docPr id="18796248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24874" name="Picture 187962487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155" cy="298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3F5D" w14:textId="39025A37" w:rsidR="00094F5A" w:rsidRDefault="00094F5A">
      <w:pPr>
        <w:ind w:left="360"/>
        <w:rPr>
          <w:sz w:val="28"/>
          <w:szCs w:val="28"/>
        </w:rPr>
      </w:pPr>
      <w:r w:rsidRPr="00094F5A">
        <w:rPr>
          <w:sz w:val="28"/>
          <w:szCs w:val="28"/>
        </w:rPr>
        <w:t>Certain states contributed significantly higher SIP investment amounts than others, highlighting regional concentration in mutual fund investments.</w:t>
      </w:r>
    </w:p>
    <w:p w14:paraId="6D9C4C21" w14:textId="7FACBC27" w:rsidR="00094F5A" w:rsidRPr="00094F5A" w:rsidRDefault="00094F5A" w:rsidP="00094F5A">
      <w:pPr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482FD271" wp14:editId="5AE2C5A9">
            <wp:simplePos x="0" y="0"/>
            <wp:positionH relativeFrom="column">
              <wp:posOffset>1254369</wp:posOffset>
            </wp:positionH>
            <wp:positionV relativeFrom="paragraph">
              <wp:posOffset>336550</wp:posOffset>
            </wp:positionV>
            <wp:extent cx="3101609" cy="3254022"/>
            <wp:effectExtent l="0" t="0" r="3810" b="3810"/>
            <wp:wrapTight wrapText="bothSides">
              <wp:wrapPolygon edited="0">
                <wp:start x="0" y="0"/>
                <wp:lineTo x="0" y="21499"/>
                <wp:lineTo x="21494" y="21499"/>
                <wp:lineTo x="21494" y="0"/>
                <wp:lineTo x="0" y="0"/>
              </wp:wrapPolygon>
            </wp:wrapTight>
            <wp:docPr id="14018294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29471" name="Picture 140182947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en-US"/>
        </w:rPr>
        <w:t>6.2-</w:t>
      </w:r>
      <w:r w:rsidRPr="00094F5A">
        <w:rPr>
          <w:b/>
          <w:bCs/>
          <w:sz w:val="28"/>
          <w:szCs w:val="28"/>
        </w:rPr>
        <w:t xml:space="preserve"> </w:t>
      </w:r>
      <w:r w:rsidRPr="00094F5A">
        <w:rPr>
          <w:b/>
          <w:bCs/>
          <w:sz w:val="28"/>
          <w:szCs w:val="28"/>
        </w:rPr>
        <w:t>T30 vs B30 city tier pie chart</w:t>
      </w:r>
      <w:r w:rsidRPr="00094F5A">
        <w:rPr>
          <w:sz w:val="28"/>
          <w:szCs w:val="28"/>
        </w:rPr>
        <w:t>.</w:t>
      </w:r>
    </w:p>
    <w:p w14:paraId="1ECF6A69" w14:textId="3AB2FD50" w:rsidR="00094F5A" w:rsidRDefault="00094F5A">
      <w:pPr>
        <w:ind w:left="360"/>
        <w:rPr>
          <w:sz w:val="28"/>
          <w:szCs w:val="28"/>
          <w:lang w:val="en-US"/>
        </w:rPr>
      </w:pPr>
    </w:p>
    <w:p w14:paraId="44BD15B6" w14:textId="77777777" w:rsidR="00094F5A" w:rsidRDefault="00094F5A">
      <w:pPr>
        <w:ind w:left="360"/>
        <w:rPr>
          <w:sz w:val="28"/>
          <w:szCs w:val="28"/>
          <w:lang w:val="en-US"/>
        </w:rPr>
      </w:pPr>
    </w:p>
    <w:p w14:paraId="5C900959" w14:textId="77777777" w:rsidR="00094F5A" w:rsidRDefault="00094F5A">
      <w:pPr>
        <w:ind w:left="360"/>
        <w:rPr>
          <w:sz w:val="28"/>
          <w:szCs w:val="28"/>
          <w:lang w:val="en-US"/>
        </w:rPr>
      </w:pPr>
    </w:p>
    <w:p w14:paraId="164F92A9" w14:textId="77777777" w:rsidR="00094F5A" w:rsidRDefault="00094F5A">
      <w:pPr>
        <w:ind w:left="360"/>
        <w:rPr>
          <w:sz w:val="28"/>
          <w:szCs w:val="28"/>
          <w:lang w:val="en-US"/>
        </w:rPr>
      </w:pPr>
    </w:p>
    <w:p w14:paraId="50E08D42" w14:textId="77777777" w:rsidR="00094F5A" w:rsidRDefault="00094F5A">
      <w:pPr>
        <w:ind w:left="360"/>
        <w:rPr>
          <w:sz w:val="28"/>
          <w:szCs w:val="28"/>
          <w:lang w:val="en-US"/>
        </w:rPr>
      </w:pPr>
    </w:p>
    <w:p w14:paraId="4D3AE93A" w14:textId="77777777" w:rsidR="00094F5A" w:rsidRDefault="00094F5A">
      <w:pPr>
        <w:ind w:left="360"/>
        <w:rPr>
          <w:sz w:val="28"/>
          <w:szCs w:val="28"/>
          <w:lang w:val="en-US"/>
        </w:rPr>
      </w:pPr>
    </w:p>
    <w:p w14:paraId="1EA4D9B9" w14:textId="77777777" w:rsidR="00094F5A" w:rsidRDefault="00094F5A">
      <w:pPr>
        <w:ind w:left="360"/>
        <w:rPr>
          <w:sz w:val="28"/>
          <w:szCs w:val="28"/>
          <w:lang w:val="en-US"/>
        </w:rPr>
      </w:pPr>
    </w:p>
    <w:p w14:paraId="23C98504" w14:textId="77777777" w:rsidR="00094F5A" w:rsidRDefault="00094F5A">
      <w:pPr>
        <w:ind w:left="360"/>
        <w:rPr>
          <w:sz w:val="28"/>
          <w:szCs w:val="28"/>
          <w:lang w:val="en-US"/>
        </w:rPr>
      </w:pPr>
    </w:p>
    <w:p w14:paraId="05751117" w14:textId="77777777" w:rsidR="00094F5A" w:rsidRDefault="00094F5A">
      <w:pPr>
        <w:ind w:left="360"/>
        <w:rPr>
          <w:sz w:val="28"/>
          <w:szCs w:val="28"/>
          <w:lang w:val="en-US"/>
        </w:rPr>
      </w:pPr>
    </w:p>
    <w:p w14:paraId="3CF0D0AE" w14:textId="77777777" w:rsidR="00094F5A" w:rsidRDefault="00094F5A">
      <w:pPr>
        <w:ind w:left="360"/>
        <w:rPr>
          <w:sz w:val="28"/>
          <w:szCs w:val="28"/>
          <w:lang w:val="en-US"/>
        </w:rPr>
      </w:pPr>
    </w:p>
    <w:p w14:paraId="0E9A54B7" w14:textId="498A06D3" w:rsidR="00094F5A" w:rsidRDefault="00094F5A">
      <w:pPr>
        <w:ind w:left="36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  </w:t>
      </w:r>
      <w:r w:rsidRPr="00094F5A">
        <w:rPr>
          <w:sz w:val="24"/>
          <w:szCs w:val="24"/>
        </w:rPr>
        <w:t>The pie chart shows that T30 cities account for 66.3% of the total distribution, while B30 cities make up 33.7%, indicating that SIP investments are more concentrated in T30 cities</w:t>
      </w:r>
      <w:r w:rsidRPr="00094F5A">
        <w:rPr>
          <w:sz w:val="28"/>
          <w:szCs w:val="28"/>
        </w:rPr>
        <w:t>.</w:t>
      </w:r>
    </w:p>
    <w:p w14:paraId="7096C843" w14:textId="77777777" w:rsidR="00FA63FC" w:rsidRPr="00094F5A" w:rsidRDefault="00FA63FC">
      <w:pPr>
        <w:ind w:left="360"/>
        <w:rPr>
          <w:sz w:val="28"/>
          <w:szCs w:val="28"/>
        </w:rPr>
      </w:pPr>
    </w:p>
    <w:p w14:paraId="3C6D3CC2" w14:textId="0FD0B5C8" w:rsidR="00094F5A" w:rsidRDefault="00094F5A" w:rsidP="00094F5A">
      <w:pPr>
        <w:rPr>
          <w:sz w:val="28"/>
          <w:szCs w:val="28"/>
        </w:rPr>
      </w:pPr>
      <w:r>
        <w:rPr>
          <w:sz w:val="28"/>
          <w:szCs w:val="28"/>
          <w:lang w:val="en-US"/>
        </w:rPr>
        <w:t>7.</w:t>
      </w:r>
      <w:r w:rsidRPr="00094F5A">
        <w:rPr>
          <w:rFonts w:ascii="Arial" w:eastAsia="Times New Roman" w:hAnsi="Arial" w:cs="Arial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094F5A">
        <w:rPr>
          <w:b/>
          <w:bCs/>
          <w:sz w:val="28"/>
          <w:szCs w:val="28"/>
        </w:rPr>
        <w:t>Folio count growth — line chart from 13.26 Cr (Jan 2022) to 26.12 Cr (Dec 2025). Mark key milestones</w:t>
      </w:r>
      <w:r w:rsidRPr="00094F5A">
        <w:rPr>
          <w:sz w:val="28"/>
          <w:szCs w:val="28"/>
        </w:rPr>
        <w:t>.</w:t>
      </w:r>
    </w:p>
    <w:p w14:paraId="4C342E1F" w14:textId="381122A6" w:rsidR="004B0A13" w:rsidRPr="00094F5A" w:rsidRDefault="004B0A13" w:rsidP="00094F5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6B1A24" wp14:editId="631EEA2E">
            <wp:extent cx="6628868" cy="3270738"/>
            <wp:effectExtent l="0" t="0" r="635" b="6350"/>
            <wp:docPr id="10324751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75156" name="Picture 10324751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096" cy="329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CBBE" w14:textId="77777777" w:rsidR="00944280" w:rsidRDefault="004B0A13" w:rsidP="004B0A13">
      <w:pPr>
        <w:ind w:left="360"/>
        <w:rPr>
          <w:sz w:val="24"/>
          <w:szCs w:val="24"/>
        </w:rPr>
      </w:pPr>
      <w:r w:rsidRPr="004B0A13">
        <w:rPr>
          <w:sz w:val="24"/>
          <w:szCs w:val="24"/>
        </w:rPr>
        <w:t xml:space="preserve">The line graph indicates that the folio count has shown consistent growth from January 2022 to </w:t>
      </w:r>
    </w:p>
    <w:p w14:paraId="496026AA" w14:textId="00C1007C" w:rsidR="00094F5A" w:rsidRDefault="004B0A13" w:rsidP="004B0A13">
      <w:pPr>
        <w:ind w:left="360"/>
        <w:rPr>
          <w:sz w:val="24"/>
          <w:szCs w:val="24"/>
        </w:rPr>
      </w:pPr>
      <w:r w:rsidRPr="004B0A13">
        <w:rPr>
          <w:sz w:val="24"/>
          <w:szCs w:val="24"/>
        </w:rPr>
        <w:t>December 2025, demonstrating a steady year</w:t>
      </w:r>
      <w:r w:rsidRPr="004B0A13">
        <w:rPr>
          <w:sz w:val="24"/>
          <w:szCs w:val="24"/>
        </w:rPr>
        <w:noBreakHyphen/>
        <w:t>on</w:t>
      </w:r>
      <w:r w:rsidRPr="004B0A13">
        <w:rPr>
          <w:sz w:val="24"/>
          <w:szCs w:val="24"/>
        </w:rPr>
        <w:noBreakHyphen/>
        <w:t>year increase in investor participation.</w:t>
      </w:r>
    </w:p>
    <w:p w14:paraId="03DD4633" w14:textId="77777777" w:rsidR="004B0A13" w:rsidRDefault="004B0A13" w:rsidP="004B0A13">
      <w:pPr>
        <w:ind w:left="360"/>
        <w:rPr>
          <w:sz w:val="24"/>
          <w:szCs w:val="24"/>
        </w:rPr>
      </w:pPr>
    </w:p>
    <w:p w14:paraId="47E59960" w14:textId="77777777" w:rsidR="00944280" w:rsidRDefault="00944280" w:rsidP="004B0A13">
      <w:pPr>
        <w:ind w:left="360"/>
        <w:rPr>
          <w:sz w:val="24"/>
          <w:szCs w:val="24"/>
        </w:rPr>
      </w:pPr>
    </w:p>
    <w:p w14:paraId="16AB7D60" w14:textId="47C3C044" w:rsidR="004B0A13" w:rsidRDefault="004B0A13" w:rsidP="004B0A13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7.2-</w:t>
      </w:r>
      <w:r w:rsidRPr="00094F5A">
        <w:rPr>
          <w:b/>
          <w:bCs/>
          <w:sz w:val="28"/>
          <w:szCs w:val="28"/>
        </w:rPr>
        <w:t>Mark key milestones</w:t>
      </w:r>
    </w:p>
    <w:p w14:paraId="79E15A03" w14:textId="40C95E21" w:rsidR="004B0A13" w:rsidRDefault="004B0A13" w:rsidP="004B0A13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82CE47E" wp14:editId="4AFC4918">
            <wp:extent cx="5731510" cy="3132455"/>
            <wp:effectExtent l="0" t="0" r="2540" b="0"/>
            <wp:docPr id="16342595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59525" name="Picture 163425952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4A74" w14:textId="37C3A257" w:rsidR="004B0A13" w:rsidRDefault="004B0A13" w:rsidP="004B0A13">
      <w:pPr>
        <w:ind w:left="360"/>
        <w:rPr>
          <w:sz w:val="24"/>
          <w:szCs w:val="24"/>
        </w:rPr>
      </w:pPr>
      <w:r w:rsidRPr="004B0A13">
        <w:rPr>
          <w:sz w:val="24"/>
          <w:szCs w:val="24"/>
        </w:rPr>
        <w:t>The line graph shows a steady year</w:t>
      </w:r>
      <w:r w:rsidRPr="004B0A13">
        <w:rPr>
          <w:sz w:val="24"/>
          <w:szCs w:val="24"/>
        </w:rPr>
        <w:noBreakHyphen/>
        <w:t>on</w:t>
      </w:r>
      <w:r w:rsidRPr="004B0A13">
        <w:rPr>
          <w:sz w:val="24"/>
          <w:szCs w:val="24"/>
        </w:rPr>
        <w:noBreakHyphen/>
        <w:t>year rise in folio count from January 2022 (13.26 Cr) to December 2025 (26.12 Cr), reflecting continuous investor growth</w:t>
      </w:r>
    </w:p>
    <w:p w14:paraId="32622FCA" w14:textId="633F7FF3" w:rsidR="004B0A13" w:rsidRDefault="004B0A13" w:rsidP="004B0A13">
      <w:pPr>
        <w:ind w:left="360"/>
        <w:rPr>
          <w:b/>
          <w:bCs/>
          <w:sz w:val="24"/>
          <w:szCs w:val="24"/>
        </w:rPr>
      </w:pPr>
      <w:r>
        <w:rPr>
          <w:sz w:val="24"/>
          <w:szCs w:val="24"/>
        </w:rPr>
        <w:t>8.</w:t>
      </w:r>
      <w:r w:rsidRPr="004B0A13">
        <w:rPr>
          <w:b/>
          <w:bCs/>
          <w:sz w:val="24"/>
          <w:szCs w:val="24"/>
        </w:rPr>
        <w:t>NAV return correlation matrix — compute pairwise correlation of daily returns for 10 selected funds. Seaborn heatmap</w:t>
      </w:r>
    </w:p>
    <w:p w14:paraId="5CF16172" w14:textId="7789709B" w:rsidR="004B0A13" w:rsidRDefault="00FA63FC" w:rsidP="004B0A13">
      <w:pPr>
        <w:ind w:left="360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EB1E809" wp14:editId="7DF455E2">
            <wp:extent cx="5450840" cy="4261338"/>
            <wp:effectExtent l="0" t="0" r="0" b="6350"/>
            <wp:docPr id="3508333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33326" name="Picture 3508333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2799" cy="4286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29359" w14:textId="7855E46E" w:rsidR="00FA63FC" w:rsidRDefault="00FA63FC" w:rsidP="004B0A13">
      <w:pPr>
        <w:ind w:left="360"/>
        <w:rPr>
          <w:sz w:val="24"/>
          <w:szCs w:val="24"/>
        </w:rPr>
      </w:pPr>
      <w:r w:rsidRPr="00FA63FC">
        <w:rPr>
          <w:sz w:val="24"/>
          <w:szCs w:val="24"/>
        </w:rPr>
        <w:t xml:space="preserve"> The chart shows that the funds hardly move together — their returns are weakly linked, which makes them good for diversification</w:t>
      </w:r>
    </w:p>
    <w:p w14:paraId="69AE8590" w14:textId="77777777" w:rsidR="00FA63FC" w:rsidRDefault="00FA63FC" w:rsidP="004B0A13">
      <w:pPr>
        <w:ind w:left="360"/>
        <w:rPr>
          <w:sz w:val="24"/>
          <w:szCs w:val="24"/>
        </w:rPr>
      </w:pPr>
    </w:p>
    <w:p w14:paraId="327EF6D6" w14:textId="117EDED4" w:rsidR="00FA63FC" w:rsidRDefault="00FA63FC" w:rsidP="00FA63FC">
      <w:pPr>
        <w:rPr>
          <w:sz w:val="24"/>
          <w:szCs w:val="24"/>
        </w:rPr>
      </w:pPr>
      <w:r>
        <w:rPr>
          <w:sz w:val="24"/>
          <w:szCs w:val="24"/>
        </w:rPr>
        <w:lastRenderedPageBreak/>
        <w:t>9.</w:t>
      </w:r>
      <w:r w:rsidRPr="00FA63FC">
        <w:rPr>
          <w:rFonts w:ascii="Arial" w:eastAsia="Times New Roman" w:hAnsi="Arial" w:cs="Arial"/>
          <w:color w:val="FFFFFF"/>
          <w:kern w:val="0"/>
          <w:sz w:val="21"/>
          <w:szCs w:val="21"/>
          <w:lang w:eastAsia="en-IN"/>
          <w14:ligatures w14:val="none"/>
        </w:rPr>
        <w:t xml:space="preserve"> </w:t>
      </w:r>
      <w:r w:rsidRPr="00FA63FC">
        <w:rPr>
          <w:b/>
          <w:bCs/>
          <w:sz w:val="24"/>
          <w:szCs w:val="24"/>
        </w:rPr>
        <w:t>Sector allocation donut — aggregate sector weights from portfolio_holdings.csv across all equity funds</w:t>
      </w:r>
      <w:r w:rsidRPr="00FA63FC">
        <w:rPr>
          <w:sz w:val="24"/>
          <w:szCs w:val="24"/>
        </w:rPr>
        <w:t>.</w:t>
      </w:r>
    </w:p>
    <w:p w14:paraId="0FE1E2E1" w14:textId="3ADA0BB4" w:rsidR="00FA63FC" w:rsidRPr="00FA63FC" w:rsidRDefault="00FA63FC" w:rsidP="00FA63FC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9FFC258" wp14:editId="1E0E26CE">
            <wp:extent cx="5263515" cy="4179277"/>
            <wp:effectExtent l="0" t="0" r="0" b="0"/>
            <wp:docPr id="148337810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78103" name="Picture 148337810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457" cy="41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1A40" w14:textId="532CE30F" w:rsidR="00FA63FC" w:rsidRPr="00FA63FC" w:rsidRDefault="00FA63FC" w:rsidP="004B0A13">
      <w:pPr>
        <w:ind w:left="360"/>
        <w:rPr>
          <w:sz w:val="24"/>
          <w:szCs w:val="24"/>
          <w:lang w:val="en-US"/>
        </w:rPr>
      </w:pPr>
      <w:r w:rsidRPr="00FA63FC">
        <w:rPr>
          <w:sz w:val="24"/>
          <w:szCs w:val="24"/>
        </w:rPr>
        <w:t xml:space="preserve"> Most equity fund investments are concentrated in Banking, IT, and Pharma sectors, showing investors’ strong preference for stable and growth</w:t>
      </w:r>
      <w:r w:rsidRPr="00FA63FC">
        <w:rPr>
          <w:sz w:val="24"/>
          <w:szCs w:val="24"/>
        </w:rPr>
        <w:noBreakHyphen/>
        <w:t>oriented industries.</w:t>
      </w:r>
    </w:p>
    <w:sectPr w:rsidR="00FA63FC" w:rsidRPr="00FA63FC" w:rsidSect="00944280">
      <w:pgSz w:w="11906" w:h="16838"/>
      <w:pgMar w:top="720" w:right="720" w:bottom="720" w:left="720" w:header="708" w:footer="708" w:gutter="0"/>
      <w:pgBorders w:offsetFrom="page">
        <w:top w:val="dashed" w:sz="4" w:space="24" w:color="auto"/>
        <w:left w:val="dashed" w:sz="4" w:space="24" w:color="auto"/>
        <w:bottom w:val="dashed" w:sz="4" w:space="24" w:color="auto"/>
        <w:right w:val="dash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92703"/>
    <w:multiLevelType w:val="multilevel"/>
    <w:tmpl w:val="B7908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055E5F"/>
    <w:multiLevelType w:val="multilevel"/>
    <w:tmpl w:val="71FEB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353A92"/>
    <w:multiLevelType w:val="multilevel"/>
    <w:tmpl w:val="8A36B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57A0C"/>
    <w:multiLevelType w:val="multilevel"/>
    <w:tmpl w:val="CD4A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0254CC"/>
    <w:multiLevelType w:val="multilevel"/>
    <w:tmpl w:val="DAEC4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D814CC"/>
    <w:multiLevelType w:val="multilevel"/>
    <w:tmpl w:val="210C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E5490F"/>
    <w:multiLevelType w:val="multilevel"/>
    <w:tmpl w:val="84E02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A76272"/>
    <w:multiLevelType w:val="multilevel"/>
    <w:tmpl w:val="1B4ED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FE02A6"/>
    <w:multiLevelType w:val="multilevel"/>
    <w:tmpl w:val="A7063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2202144">
    <w:abstractNumId w:val="6"/>
  </w:num>
  <w:num w:numId="2" w16cid:durableId="383406316">
    <w:abstractNumId w:val="0"/>
  </w:num>
  <w:num w:numId="3" w16cid:durableId="994648203">
    <w:abstractNumId w:val="3"/>
  </w:num>
  <w:num w:numId="4" w16cid:durableId="64376028">
    <w:abstractNumId w:val="1"/>
  </w:num>
  <w:num w:numId="5" w16cid:durableId="734161095">
    <w:abstractNumId w:val="8"/>
  </w:num>
  <w:num w:numId="6" w16cid:durableId="1621259526">
    <w:abstractNumId w:val="7"/>
  </w:num>
  <w:num w:numId="7" w16cid:durableId="1228879003">
    <w:abstractNumId w:val="5"/>
  </w:num>
  <w:num w:numId="8" w16cid:durableId="525564094">
    <w:abstractNumId w:val="2"/>
  </w:num>
  <w:num w:numId="9" w16cid:durableId="3764413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E9B"/>
    <w:rsid w:val="00094F5A"/>
    <w:rsid w:val="00120EDC"/>
    <w:rsid w:val="0026336B"/>
    <w:rsid w:val="004B0A13"/>
    <w:rsid w:val="00756FB2"/>
    <w:rsid w:val="008B33E7"/>
    <w:rsid w:val="008E4E9B"/>
    <w:rsid w:val="00944280"/>
    <w:rsid w:val="009F1ED3"/>
    <w:rsid w:val="00FA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00F0A"/>
  <w15:chartTrackingRefBased/>
  <w15:docId w15:val="{94E11BF8-FCAB-49AB-B7C2-3E6FF54D0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F5A"/>
  </w:style>
  <w:style w:type="paragraph" w:styleId="Heading1">
    <w:name w:val="heading 1"/>
    <w:basedOn w:val="Normal"/>
    <w:next w:val="Normal"/>
    <w:link w:val="Heading1Char"/>
    <w:uiPriority w:val="9"/>
    <w:qFormat/>
    <w:rsid w:val="008E4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E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Tirumala orchu</dc:creator>
  <cp:keywords/>
  <dc:description/>
  <cp:lastModifiedBy>Tirumala orchu</cp:lastModifiedBy>
  <cp:revision>1</cp:revision>
  <dcterms:created xsi:type="dcterms:W3CDTF">2026-06-27T09:39:00Z</dcterms:created>
  <dcterms:modified xsi:type="dcterms:W3CDTF">2026-06-27T10:47:00Z</dcterms:modified>
</cp:coreProperties>
</file>