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03" w:rsidRDefault="005E2919">
      <w:pPr>
        <w:spacing w:after="62" w:line="259" w:lineRule="auto"/>
        <w:ind w:left="0" w:firstLine="0"/>
      </w:pPr>
      <w:r>
        <w:rPr>
          <w:b/>
          <w:sz w:val="24"/>
        </w:rPr>
        <w:t xml:space="preserve">Appendix 3: Confidentiality Undertaking Template </w:t>
      </w:r>
    </w:p>
    <w:p w:rsidR="00D82F03" w:rsidRDefault="005E2919">
      <w:pPr>
        <w:spacing w:after="101" w:line="259" w:lineRule="auto"/>
        <w:ind w:left="0" w:firstLine="0"/>
      </w:pPr>
      <w:r>
        <w:rPr>
          <w:sz w:val="20"/>
        </w:rPr>
        <w:t xml:space="preserve"> </w:t>
      </w:r>
    </w:p>
    <w:p w:rsidR="00D82F03" w:rsidRDefault="005E2919">
      <w:pPr>
        <w:pStyle w:val="Heading1"/>
        <w:spacing w:after="0"/>
        <w:ind w:left="-5"/>
      </w:pPr>
      <w:r>
        <w:t xml:space="preserve">Nordea </w:t>
      </w:r>
      <w:r>
        <w:rPr>
          <w:b w:val="0"/>
        </w:rPr>
        <w:t xml:space="preserve"> </w:t>
      </w:r>
    </w:p>
    <w:tbl>
      <w:tblPr>
        <w:tblStyle w:val="TableGrid"/>
        <w:tblW w:w="9794" w:type="dxa"/>
        <w:tblInd w:w="-70" w:type="dxa"/>
        <w:tblCellMar>
          <w:top w:w="82" w:type="dxa"/>
          <w:left w:w="70" w:type="dxa"/>
          <w:bottom w:w="0" w:type="dxa"/>
          <w:right w:w="115" w:type="dxa"/>
        </w:tblCellMar>
        <w:tblLook w:val="04A0" w:firstRow="1" w:lastRow="0" w:firstColumn="1" w:lastColumn="0" w:noHBand="0" w:noVBand="1"/>
      </w:tblPr>
      <w:tblGrid>
        <w:gridCol w:w="4897"/>
        <w:gridCol w:w="4897"/>
      </w:tblGrid>
      <w:tr w:rsidR="00D82F03">
        <w:trPr>
          <w:trHeight w:val="622"/>
        </w:trPr>
        <w:tc>
          <w:tcPr>
            <w:tcW w:w="4897" w:type="dxa"/>
            <w:tcBorders>
              <w:top w:val="single" w:sz="4" w:space="0" w:color="000000"/>
              <w:left w:val="single" w:sz="4" w:space="0" w:color="000000"/>
              <w:bottom w:val="single" w:sz="4" w:space="0" w:color="000000"/>
              <w:right w:val="single" w:sz="4" w:space="0" w:color="000000"/>
            </w:tcBorders>
          </w:tcPr>
          <w:p w:rsidR="00D82F03" w:rsidRDefault="005E2919">
            <w:pPr>
              <w:spacing w:after="84" w:line="259" w:lineRule="auto"/>
              <w:ind w:left="0" w:firstLine="0"/>
            </w:pPr>
            <w:r>
              <w:rPr>
                <w:sz w:val="16"/>
              </w:rPr>
              <w:t xml:space="preserve">Nordea company name </w:t>
            </w:r>
          </w:p>
          <w:p w:rsidR="00D82F03" w:rsidRDefault="005E2919">
            <w:pPr>
              <w:spacing w:after="0" w:line="259" w:lineRule="auto"/>
              <w:ind w:left="0" w:firstLine="0"/>
            </w:pPr>
            <w:r>
              <w:rPr>
                <w:sz w:val="20"/>
              </w:rPr>
              <w:t xml:space="preserve"> </w:t>
            </w:r>
          </w:p>
        </w:tc>
        <w:tc>
          <w:tcPr>
            <w:tcW w:w="4897" w:type="dxa"/>
            <w:tcBorders>
              <w:top w:val="single" w:sz="4" w:space="0" w:color="000000"/>
              <w:left w:val="single" w:sz="4" w:space="0" w:color="000000"/>
              <w:bottom w:val="single" w:sz="4" w:space="0" w:color="000000"/>
              <w:right w:val="single" w:sz="4" w:space="0" w:color="000000"/>
            </w:tcBorders>
          </w:tcPr>
          <w:p w:rsidR="00D82F03" w:rsidRDefault="005E2919">
            <w:pPr>
              <w:spacing w:after="84" w:line="259" w:lineRule="auto"/>
              <w:ind w:left="2" w:firstLine="0"/>
            </w:pPr>
            <w:r>
              <w:rPr>
                <w:sz w:val="16"/>
              </w:rPr>
              <w:t xml:space="preserve">Company number </w:t>
            </w:r>
          </w:p>
          <w:p w:rsidR="00D82F03" w:rsidRDefault="005E2919">
            <w:pPr>
              <w:spacing w:after="0" w:line="259" w:lineRule="auto"/>
              <w:ind w:left="2" w:firstLine="0"/>
            </w:pPr>
            <w:r>
              <w:rPr>
                <w:sz w:val="20"/>
              </w:rPr>
              <w:t xml:space="preserve"> </w:t>
            </w:r>
          </w:p>
        </w:tc>
      </w:tr>
    </w:tbl>
    <w:p w:rsidR="00D82F03" w:rsidRDefault="005E2919">
      <w:pPr>
        <w:pStyle w:val="Heading1"/>
        <w:spacing w:after="0"/>
        <w:ind w:left="-5"/>
      </w:pPr>
      <w:r>
        <w:t xml:space="preserve">Recipient of Confidential Information </w:t>
      </w:r>
    </w:p>
    <w:tbl>
      <w:tblPr>
        <w:tblStyle w:val="TableGrid"/>
        <w:tblW w:w="9780" w:type="dxa"/>
        <w:tblInd w:w="-70" w:type="dxa"/>
        <w:tblCellMar>
          <w:top w:w="85" w:type="dxa"/>
          <w:left w:w="70" w:type="dxa"/>
          <w:bottom w:w="0" w:type="dxa"/>
          <w:right w:w="115" w:type="dxa"/>
        </w:tblCellMar>
        <w:tblLook w:val="04A0" w:firstRow="1" w:lastRow="0" w:firstColumn="1" w:lastColumn="0" w:noHBand="0" w:noVBand="1"/>
      </w:tblPr>
      <w:tblGrid>
        <w:gridCol w:w="6364"/>
        <w:gridCol w:w="3416"/>
      </w:tblGrid>
      <w:tr w:rsidR="00D82F03">
        <w:trPr>
          <w:trHeight w:val="797"/>
        </w:trPr>
        <w:tc>
          <w:tcPr>
            <w:tcW w:w="6364" w:type="dxa"/>
            <w:tcBorders>
              <w:top w:val="single" w:sz="6" w:space="0" w:color="000000"/>
              <w:left w:val="single" w:sz="6" w:space="0" w:color="000000"/>
              <w:bottom w:val="single" w:sz="6" w:space="0" w:color="000000"/>
              <w:right w:val="single" w:sz="6" w:space="0" w:color="000000"/>
            </w:tcBorders>
          </w:tcPr>
          <w:p w:rsidR="00D82F03" w:rsidRDefault="005E2919">
            <w:pPr>
              <w:spacing w:after="79" w:line="259" w:lineRule="auto"/>
              <w:ind w:left="0" w:firstLine="0"/>
            </w:pPr>
            <w:r>
              <w:rPr>
                <w:sz w:val="16"/>
              </w:rPr>
              <w:t xml:space="preserve">Name or Company name (hereinafter referred to as the "Recipient") </w:t>
            </w:r>
          </w:p>
          <w:p w:rsidR="00D82F03" w:rsidRDefault="005E2919">
            <w:pPr>
              <w:spacing w:after="0" w:line="259" w:lineRule="auto"/>
              <w:ind w:left="0" w:firstLine="0"/>
            </w:pPr>
            <w:r>
              <w:rPr>
                <w:b/>
                <w:sz w:val="20"/>
              </w:rPr>
              <w:t xml:space="preserve"> </w:t>
            </w:r>
          </w:p>
        </w:tc>
        <w:tc>
          <w:tcPr>
            <w:tcW w:w="3416" w:type="dxa"/>
            <w:tcBorders>
              <w:top w:val="single" w:sz="6" w:space="0" w:color="000000"/>
              <w:left w:val="single" w:sz="6" w:space="0" w:color="000000"/>
              <w:bottom w:val="single" w:sz="6" w:space="0" w:color="000000"/>
              <w:right w:val="single" w:sz="6" w:space="0" w:color="000000"/>
            </w:tcBorders>
          </w:tcPr>
          <w:p w:rsidR="00D82F03" w:rsidRDefault="005E2919">
            <w:pPr>
              <w:spacing w:after="58" w:line="259" w:lineRule="auto"/>
              <w:ind w:left="0" w:firstLine="0"/>
            </w:pPr>
            <w:r>
              <w:rPr>
                <w:sz w:val="16"/>
              </w:rPr>
              <w:t xml:space="preserve">Company number/social security number (if applicable) </w:t>
            </w:r>
          </w:p>
          <w:p w:rsidR="00D82F03" w:rsidRDefault="005E2919">
            <w:pPr>
              <w:spacing w:after="0" w:line="259" w:lineRule="auto"/>
              <w:ind w:left="0" w:firstLine="0"/>
            </w:pPr>
            <w:r>
              <w:rPr>
                <w:b/>
                <w:sz w:val="16"/>
              </w:rPr>
              <w:t xml:space="preserve">Capgemini Sverige AB / 556092-3053 </w:t>
            </w:r>
          </w:p>
        </w:tc>
      </w:tr>
      <w:tr w:rsidR="00D82F03">
        <w:trPr>
          <w:trHeight w:val="595"/>
        </w:trPr>
        <w:tc>
          <w:tcPr>
            <w:tcW w:w="6364" w:type="dxa"/>
            <w:tcBorders>
              <w:top w:val="single" w:sz="6" w:space="0" w:color="000000"/>
              <w:left w:val="single" w:sz="6" w:space="0" w:color="000000"/>
              <w:bottom w:val="single" w:sz="6" w:space="0" w:color="000000"/>
              <w:right w:val="single" w:sz="6" w:space="0" w:color="000000"/>
            </w:tcBorders>
          </w:tcPr>
          <w:p w:rsidR="00D82F03" w:rsidRDefault="005E2919">
            <w:pPr>
              <w:spacing w:after="91" w:line="259" w:lineRule="auto"/>
              <w:ind w:left="0" w:firstLine="0"/>
            </w:pPr>
            <w:r>
              <w:rPr>
                <w:sz w:val="16"/>
              </w:rPr>
              <w:t xml:space="preserve">Street, box </w:t>
            </w:r>
          </w:p>
          <w:p w:rsidR="00D82F03" w:rsidRDefault="005E2919">
            <w:pPr>
              <w:spacing w:after="0" w:line="259" w:lineRule="auto"/>
              <w:ind w:left="0" w:firstLine="0"/>
            </w:pPr>
            <w:r>
              <w:rPr>
                <w:b/>
                <w:sz w:val="16"/>
              </w:rPr>
              <w:t>Gustavslundsvägen 131, Box 825</w:t>
            </w:r>
            <w:r>
              <w:rPr>
                <w:b/>
                <w:sz w:val="20"/>
              </w:rPr>
              <w:t xml:space="preserve"> </w:t>
            </w:r>
          </w:p>
        </w:tc>
        <w:tc>
          <w:tcPr>
            <w:tcW w:w="3416" w:type="dxa"/>
            <w:tcBorders>
              <w:top w:val="single" w:sz="6" w:space="0" w:color="000000"/>
              <w:left w:val="single" w:sz="6" w:space="0" w:color="000000"/>
              <w:bottom w:val="single" w:sz="6" w:space="0" w:color="000000"/>
              <w:right w:val="single" w:sz="6" w:space="0" w:color="000000"/>
            </w:tcBorders>
          </w:tcPr>
          <w:p w:rsidR="00D82F03" w:rsidRDefault="005E2919">
            <w:pPr>
              <w:spacing w:after="85" w:line="259" w:lineRule="auto"/>
              <w:ind w:left="0" w:firstLine="0"/>
            </w:pPr>
            <w:r>
              <w:rPr>
                <w:sz w:val="16"/>
              </w:rPr>
              <w:t xml:space="preserve">Contact person (if applicable) </w:t>
            </w:r>
          </w:p>
          <w:p w:rsidR="00D82F03" w:rsidRDefault="005E2919">
            <w:pPr>
              <w:spacing w:after="0" w:line="259" w:lineRule="auto"/>
              <w:ind w:left="0" w:firstLine="0"/>
            </w:pPr>
            <w:r>
              <w:rPr>
                <w:b/>
                <w:sz w:val="16"/>
              </w:rPr>
              <w:t>NA</w:t>
            </w:r>
            <w:r>
              <w:rPr>
                <w:b/>
                <w:sz w:val="20"/>
              </w:rPr>
              <w:t xml:space="preserve"> </w:t>
            </w:r>
          </w:p>
        </w:tc>
      </w:tr>
      <w:tr w:rsidR="00D82F03">
        <w:trPr>
          <w:trHeight w:val="596"/>
        </w:trPr>
        <w:tc>
          <w:tcPr>
            <w:tcW w:w="6364" w:type="dxa"/>
            <w:tcBorders>
              <w:top w:val="single" w:sz="6" w:space="0" w:color="000000"/>
              <w:left w:val="single" w:sz="6" w:space="0" w:color="000000"/>
              <w:bottom w:val="single" w:sz="6" w:space="0" w:color="000000"/>
              <w:right w:val="single" w:sz="6" w:space="0" w:color="000000"/>
            </w:tcBorders>
          </w:tcPr>
          <w:p w:rsidR="00D82F03" w:rsidRDefault="005E2919">
            <w:pPr>
              <w:spacing w:after="91" w:line="259" w:lineRule="auto"/>
              <w:ind w:left="0" w:firstLine="0"/>
            </w:pPr>
            <w:r>
              <w:rPr>
                <w:sz w:val="16"/>
              </w:rPr>
              <w:t xml:space="preserve">Postal code and city </w:t>
            </w:r>
          </w:p>
          <w:p w:rsidR="00D82F03" w:rsidRDefault="005E2919">
            <w:pPr>
              <w:spacing w:after="0" w:line="259" w:lineRule="auto"/>
              <w:ind w:left="0" w:firstLine="0"/>
            </w:pPr>
            <w:r>
              <w:rPr>
                <w:b/>
                <w:sz w:val="16"/>
              </w:rPr>
              <w:t>161 24 Bromma, Sweden</w:t>
            </w:r>
            <w:r>
              <w:rPr>
                <w:sz w:val="20"/>
              </w:rPr>
              <w:t xml:space="preserve"> </w:t>
            </w:r>
          </w:p>
        </w:tc>
        <w:tc>
          <w:tcPr>
            <w:tcW w:w="3416" w:type="dxa"/>
            <w:tcBorders>
              <w:top w:val="single" w:sz="6" w:space="0" w:color="000000"/>
              <w:left w:val="single" w:sz="6" w:space="0" w:color="000000"/>
              <w:bottom w:val="single" w:sz="6" w:space="0" w:color="000000"/>
              <w:right w:val="single" w:sz="6" w:space="0" w:color="000000"/>
            </w:tcBorders>
          </w:tcPr>
          <w:p w:rsidR="00D82F03" w:rsidRDefault="005E2919">
            <w:pPr>
              <w:spacing w:after="91" w:line="259" w:lineRule="auto"/>
              <w:ind w:left="0" w:firstLine="0"/>
            </w:pPr>
            <w:r>
              <w:rPr>
                <w:sz w:val="16"/>
              </w:rPr>
              <w:t xml:space="preserve">Telephone number (including area code) </w:t>
            </w:r>
          </w:p>
          <w:p w:rsidR="00D82F03" w:rsidRDefault="005E2919">
            <w:pPr>
              <w:spacing w:after="0" w:line="259" w:lineRule="auto"/>
              <w:ind w:left="0" w:firstLine="0"/>
            </w:pPr>
            <w:r>
              <w:rPr>
                <w:b/>
                <w:sz w:val="16"/>
              </w:rPr>
              <w:t>Tel:+91 6755 70 00  Ext: 223 6519</w:t>
            </w:r>
            <w:r>
              <w:rPr>
                <w:sz w:val="20"/>
              </w:rPr>
              <w:t xml:space="preserve"> </w:t>
            </w:r>
          </w:p>
        </w:tc>
      </w:tr>
    </w:tbl>
    <w:p w:rsidR="00D82F03" w:rsidRDefault="005E2919">
      <w:pPr>
        <w:spacing w:after="81" w:line="259" w:lineRule="auto"/>
        <w:ind w:left="0" w:firstLine="0"/>
      </w:pPr>
      <w:r>
        <w:rPr>
          <w:sz w:val="20"/>
        </w:rPr>
        <w:t xml:space="preserve"> </w:t>
      </w:r>
    </w:p>
    <w:p w:rsidR="00D82F03" w:rsidRDefault="005E2919">
      <w:pPr>
        <w:spacing w:after="157" w:line="259" w:lineRule="auto"/>
        <w:ind w:left="0" w:firstLine="0"/>
      </w:pPr>
      <w:r>
        <w:rPr>
          <w:sz w:val="16"/>
        </w:rPr>
        <w:t xml:space="preserve"> </w:t>
      </w:r>
    </w:p>
    <w:p w:rsidR="00D82F03" w:rsidRDefault="005E2919">
      <w:pPr>
        <w:numPr>
          <w:ilvl w:val="0"/>
          <w:numId w:val="1"/>
        </w:numPr>
        <w:spacing w:after="0"/>
        <w:ind w:hanging="566"/>
      </w:pPr>
      <w:r>
        <w:rPr>
          <w:b/>
          <w:sz w:val="20"/>
        </w:rPr>
        <w:t xml:space="preserve">Background and scope </w:t>
      </w:r>
      <w:r>
        <w:rPr>
          <w:b/>
          <w:sz w:val="20"/>
        </w:rPr>
        <w:tab/>
      </w:r>
      <w:r>
        <w:t>"</w:t>
      </w:r>
      <w:r>
        <w:rPr>
          <w:i/>
        </w:rPr>
        <w:t>Nordea Group</w:t>
      </w:r>
      <w:r>
        <w:t xml:space="preserve">" shall mean shall mean all domestic or </w:t>
      </w:r>
    </w:p>
    <w:p w:rsidR="00D82F03" w:rsidRDefault="005E2919">
      <w:pPr>
        <w:spacing w:after="0"/>
        <w:ind w:left="5680"/>
      </w:pPr>
      <w:r>
        <w:t xml:space="preserve">international legal entities, which from time to time: (i) directly or </w:t>
      </w:r>
    </w:p>
    <w:p w:rsidR="00D82F03" w:rsidRDefault="005E2919">
      <w:pPr>
        <w:numPr>
          <w:ilvl w:val="1"/>
          <w:numId w:val="1"/>
        </w:numPr>
        <w:spacing w:after="0" w:line="376" w:lineRule="auto"/>
        <w:ind w:hanging="566"/>
      </w:pPr>
      <w:r>
        <w:t xml:space="preserve">The Recipient hereby enters </w:t>
      </w:r>
      <w:r>
        <w:t>into this agreement on non-</w:t>
      </w:r>
      <w:r>
        <w:tab/>
        <w:t xml:space="preserve">indirectly control Nordea Bank AB (publ); or (ii) are controlled disclosure (“NDA”) to provide a contractual basis for the release </w:t>
      </w:r>
      <w:r>
        <w:tab/>
        <w:t>directly or indirectly by Nordea Bank AB (publ) or by an entity of Confidential Information by t</w:t>
      </w:r>
      <w:r>
        <w:t xml:space="preserve">he Nordea Group in connection </w:t>
      </w:r>
      <w:r>
        <w:tab/>
        <w:t xml:space="preserve">under (i). </w:t>
      </w:r>
    </w:p>
    <w:p w:rsidR="00D82F03" w:rsidRDefault="005E2919">
      <w:pPr>
        <w:spacing w:after="1"/>
        <w:ind w:left="561"/>
      </w:pPr>
      <w:r>
        <w:t xml:space="preserve">with the Recipient's provision of services to the Nordea Group </w:t>
      </w:r>
    </w:p>
    <w:p w:rsidR="00D82F03" w:rsidRDefault="005E2919">
      <w:pPr>
        <w:tabs>
          <w:tab w:val="center" w:pos="2432"/>
          <w:tab w:val="center" w:pos="7444"/>
        </w:tabs>
        <w:spacing w:after="42"/>
        <w:ind w:left="0" w:firstLine="0"/>
      </w:pPr>
      <w:r>
        <w:rPr>
          <w:rFonts w:ascii="Calibri" w:eastAsia="Calibri" w:hAnsi="Calibri" w:cs="Calibri"/>
          <w:sz w:val="22"/>
        </w:rPr>
        <w:tab/>
      </w:r>
      <w:r>
        <w:t xml:space="preserve">as an employee of or a direct or indirect subcontractor to the </w:t>
      </w:r>
      <w:r>
        <w:tab/>
        <w:t xml:space="preserve">Control shall be deemed to exist through direct or indirect </w:t>
      </w:r>
    </w:p>
    <w:p w:rsidR="00D82F03" w:rsidRDefault="005E2919">
      <w:pPr>
        <w:tabs>
          <w:tab w:val="center" w:pos="2390"/>
          <w:tab w:val="right" w:pos="9628"/>
        </w:tabs>
        <w:spacing w:after="32"/>
        <w:ind w:left="0" w:firstLine="0"/>
      </w:pPr>
      <w:r>
        <w:rPr>
          <w:rFonts w:ascii="Calibri" w:eastAsia="Calibri" w:hAnsi="Calibri" w:cs="Calibri"/>
          <w:sz w:val="22"/>
        </w:rPr>
        <w:tab/>
      </w:r>
      <w:r>
        <w:t>entity supplying the s</w:t>
      </w:r>
      <w:r>
        <w:t xml:space="preserve">ervices to the Nordea Group, or as an </w:t>
      </w:r>
      <w:r>
        <w:tab/>
        <w:t xml:space="preserve">ownership of more than fifty (50) percent of the nominal value of </w:t>
      </w:r>
    </w:p>
    <w:p w:rsidR="00D82F03" w:rsidRDefault="005E2919">
      <w:pPr>
        <w:tabs>
          <w:tab w:val="center" w:pos="1708"/>
          <w:tab w:val="right" w:pos="9628"/>
        </w:tabs>
        <w:spacing w:after="4"/>
        <w:ind w:left="0" w:firstLine="0"/>
      </w:pPr>
      <w:r>
        <w:rPr>
          <w:rFonts w:ascii="Calibri" w:eastAsia="Calibri" w:hAnsi="Calibri" w:cs="Calibri"/>
          <w:sz w:val="22"/>
        </w:rPr>
        <w:tab/>
      </w:r>
      <w:r>
        <w:t xml:space="preserve">employee of any such subcontractor.  </w:t>
      </w:r>
      <w:r>
        <w:tab/>
        <w:t xml:space="preserve">the issued equity share capital or of more than fifty (50) percent </w:t>
      </w:r>
    </w:p>
    <w:p w:rsidR="00D82F03" w:rsidRDefault="005E2919">
      <w:pPr>
        <w:spacing w:after="0"/>
        <w:ind w:left="5680"/>
      </w:pPr>
      <w:r>
        <w:t>of the shares entitling the holders to vote</w:t>
      </w:r>
      <w:r>
        <w:t xml:space="preserve"> for the election of </w:t>
      </w:r>
    </w:p>
    <w:p w:rsidR="00D82F03" w:rsidRDefault="005E2919">
      <w:pPr>
        <w:numPr>
          <w:ilvl w:val="1"/>
          <w:numId w:val="1"/>
        </w:numPr>
        <w:spacing w:after="3"/>
        <w:ind w:hanging="566"/>
      </w:pPr>
      <w:r>
        <w:t xml:space="preserve">The Recipient understands that unauthorised disclosure of the </w:t>
      </w:r>
      <w:r>
        <w:tab/>
        <w:t xml:space="preserve">directors or persons performing similar functions or right by any </w:t>
      </w:r>
      <w:r>
        <w:rPr>
          <w:sz w:val="21"/>
          <w:vertAlign w:val="superscript"/>
        </w:rPr>
        <w:t xml:space="preserve">Nordea Group's Confidential Information may lead to </w:t>
      </w:r>
      <w:r>
        <w:rPr>
          <w:sz w:val="21"/>
          <w:vertAlign w:val="superscript"/>
        </w:rPr>
        <w:tab/>
      </w:r>
      <w:r>
        <w:t xml:space="preserve">other means to elect or appoint directors or persons who substantial economical and unquantifiable loss for the Nordea </w:t>
      </w:r>
      <w:r>
        <w:tab/>
        <w:t xml:space="preserve">collectively can exercise such control. Group. </w:t>
      </w:r>
    </w:p>
    <w:p w:rsidR="00D82F03" w:rsidRDefault="005E2919">
      <w:pPr>
        <w:spacing w:after="0" w:line="259" w:lineRule="auto"/>
        <w:ind w:left="1767" w:firstLine="0"/>
        <w:jc w:val="center"/>
      </w:pPr>
      <w:r>
        <w:rPr>
          <w:sz w:val="20"/>
        </w:rPr>
        <w:t xml:space="preserve"> </w:t>
      </w:r>
    </w:p>
    <w:p w:rsidR="00D82F03" w:rsidRDefault="005E2919">
      <w:pPr>
        <w:spacing w:after="43" w:line="259" w:lineRule="auto"/>
        <w:ind w:left="0" w:firstLine="0"/>
      </w:pPr>
      <w:r>
        <w:t xml:space="preserve"> </w:t>
      </w:r>
    </w:p>
    <w:p w:rsidR="00D82F03" w:rsidRDefault="005E2919">
      <w:pPr>
        <w:tabs>
          <w:tab w:val="center" w:pos="5186"/>
          <w:tab w:val="center" w:pos="6996"/>
        </w:tabs>
        <w:spacing w:after="0" w:line="259" w:lineRule="auto"/>
        <w:ind w:left="0" w:firstLine="0"/>
      </w:pPr>
      <w:r>
        <w:rPr>
          <w:rFonts w:ascii="Calibri" w:eastAsia="Calibri" w:hAnsi="Calibri" w:cs="Calibri"/>
          <w:sz w:val="22"/>
        </w:rPr>
        <w:tab/>
      </w:r>
      <w:r>
        <w:rPr>
          <w:b/>
          <w:sz w:val="20"/>
        </w:rPr>
        <w:t xml:space="preserve">3. </w:t>
      </w:r>
      <w:r>
        <w:rPr>
          <w:b/>
          <w:sz w:val="20"/>
        </w:rPr>
        <w:tab/>
        <w:t xml:space="preserve">Obligations of the Recipient </w:t>
      </w:r>
    </w:p>
    <w:p w:rsidR="00D82F03" w:rsidRDefault="005E2919">
      <w:pPr>
        <w:pStyle w:val="Heading1"/>
        <w:tabs>
          <w:tab w:val="center" w:pos="1082"/>
        </w:tabs>
        <w:spacing w:after="0"/>
        <w:ind w:left="-15" w:firstLine="0"/>
      </w:pPr>
      <w:r>
        <w:t xml:space="preserve">2. </w:t>
      </w:r>
      <w:r>
        <w:tab/>
        <w:t xml:space="preserve">Definitions </w:t>
      </w:r>
    </w:p>
    <w:p w:rsidR="00D82F03" w:rsidRDefault="005E2919">
      <w:pPr>
        <w:spacing w:after="3" w:line="259" w:lineRule="auto"/>
        <w:ind w:left="3793" w:right="845"/>
        <w:jc w:val="center"/>
      </w:pPr>
      <w:r>
        <w:t xml:space="preserve">The Recipient shall: </w:t>
      </w:r>
    </w:p>
    <w:p w:rsidR="00D82F03" w:rsidRDefault="005E2919">
      <w:pPr>
        <w:spacing w:after="1"/>
        <w:ind w:left="561"/>
      </w:pPr>
      <w:r>
        <w:t>“</w:t>
      </w:r>
      <w:r>
        <w:rPr>
          <w:i/>
        </w:rPr>
        <w:t>Confidential Information</w:t>
      </w:r>
      <w:r>
        <w:t xml:space="preserve">” shall mean any information of any </w:t>
      </w:r>
    </w:p>
    <w:p w:rsidR="00D82F03" w:rsidRDefault="005E2919">
      <w:pPr>
        <w:spacing w:after="2"/>
        <w:ind w:left="561" w:right="112"/>
      </w:pPr>
      <w:r>
        <w:t xml:space="preserve">nature disclosed by the Nordea Group in relation to the above, </w:t>
      </w:r>
      <w:r>
        <w:tab/>
        <w:t xml:space="preserve">(a) </w:t>
      </w:r>
      <w:r>
        <w:tab/>
        <w:t xml:space="preserve">keep the Confidential Information in strict confidence whether by act or omission and irrespective of the form of </w:t>
      </w:r>
      <w:r>
        <w:tab/>
        <w:t>at least co</w:t>
      </w:r>
      <w:r>
        <w:t xml:space="preserve">mmensurate with best industry practices in communication and irrespective of whether such information is </w:t>
      </w:r>
      <w:r>
        <w:tab/>
        <w:t xml:space="preserve">the relevant sector and shall use at least the same retained in the form in which it was provided to the Recipient or </w:t>
      </w:r>
      <w:r>
        <w:tab/>
        <w:t>degree of care and discretion t</w:t>
      </w:r>
      <w:r>
        <w:t xml:space="preserve">o avoid disclosure of is contained or reflected in notes or other documents prepared </w:t>
      </w:r>
      <w:r>
        <w:tab/>
        <w:t xml:space="preserve">such information, as the Recipient would use with its by the Recipient, and shall for the avoidance of doubt always </w:t>
      </w:r>
      <w:r>
        <w:tab/>
        <w:t>own confidential information; include any and all inf</w:t>
      </w:r>
      <w:r>
        <w:t xml:space="preserve">ormation relating to the customers of any </w:t>
      </w:r>
    </w:p>
    <w:p w:rsidR="00D82F03" w:rsidRDefault="005E2919">
      <w:pPr>
        <w:spacing w:after="0" w:line="216" w:lineRule="auto"/>
        <w:ind w:left="551" w:firstLine="5103"/>
      </w:pPr>
      <w:r>
        <w:t xml:space="preserve">(b) </w:t>
      </w:r>
      <w:r>
        <w:tab/>
        <w:t xml:space="preserve">provide the technical and organisational safeguards in member of the Nordea Group. </w:t>
      </w:r>
    </w:p>
    <w:p w:rsidR="00D82F03" w:rsidRDefault="005E2919">
      <w:pPr>
        <w:spacing w:after="1"/>
        <w:ind w:left="551" w:firstLine="5670"/>
      </w:pPr>
      <w:r>
        <w:t xml:space="preserve">handling and storing the Confidential Information Confidential Information shall, however, not include information, </w:t>
      </w:r>
      <w:r>
        <w:tab/>
        <w:t>necessa</w:t>
      </w:r>
      <w:r>
        <w:t xml:space="preserve">ry to prevent that the information may become </w:t>
      </w:r>
    </w:p>
    <w:p w:rsidR="00D82F03" w:rsidRDefault="005E2919">
      <w:pPr>
        <w:tabs>
          <w:tab w:val="center" w:pos="1620"/>
          <w:tab w:val="right" w:pos="9628"/>
        </w:tabs>
        <w:spacing w:after="5"/>
        <w:ind w:left="0" w:firstLine="0"/>
      </w:pPr>
      <w:r>
        <w:rPr>
          <w:rFonts w:ascii="Calibri" w:eastAsia="Calibri" w:hAnsi="Calibri" w:cs="Calibri"/>
          <w:sz w:val="22"/>
        </w:rPr>
        <w:tab/>
      </w:r>
      <w:r>
        <w:t xml:space="preserve">which the Recipient can establish: </w:t>
      </w:r>
      <w:r>
        <w:tab/>
        <w:t xml:space="preserve">known to any third party or become misused or where </w:t>
      </w:r>
    </w:p>
    <w:p w:rsidR="00D82F03" w:rsidRDefault="005E2919">
      <w:pPr>
        <w:spacing w:after="0" w:line="259" w:lineRule="auto"/>
        <w:ind w:left="151" w:right="182"/>
        <w:jc w:val="right"/>
      </w:pPr>
      <w:r>
        <w:t xml:space="preserve">the Recipient of Confidential Information is a natural </w:t>
      </w:r>
    </w:p>
    <w:p w:rsidR="00D82F03" w:rsidRDefault="005E2919">
      <w:pPr>
        <w:numPr>
          <w:ilvl w:val="0"/>
          <w:numId w:val="2"/>
        </w:numPr>
        <w:spacing w:after="0" w:line="259" w:lineRule="auto"/>
        <w:ind w:left="1117" w:hanging="566"/>
      </w:pPr>
      <w:r>
        <w:t xml:space="preserve">was in the public domain prior to the disclosure by the person and in the employment of a an entity supplying </w:t>
      </w:r>
    </w:p>
    <w:p w:rsidR="00D82F03" w:rsidRDefault="005E2919">
      <w:pPr>
        <w:spacing w:after="0"/>
        <w:ind w:left="1143"/>
      </w:pPr>
      <w:r>
        <w:t xml:space="preserve">Nordea Group; </w:t>
      </w:r>
    </w:p>
    <w:p w:rsidR="00D82F03" w:rsidRDefault="005E2919">
      <w:pPr>
        <w:spacing w:after="84" w:line="259" w:lineRule="auto"/>
        <w:ind w:left="151" w:right="127"/>
        <w:jc w:val="right"/>
      </w:pPr>
      <w:r>
        <w:t xml:space="preserve">the services to the Nordea Group it shall comply with </w:t>
      </w:r>
    </w:p>
    <w:p w:rsidR="00D82F03" w:rsidRDefault="005E2919">
      <w:pPr>
        <w:numPr>
          <w:ilvl w:val="0"/>
          <w:numId w:val="2"/>
        </w:numPr>
        <w:spacing w:after="31"/>
        <w:ind w:left="1117" w:hanging="566"/>
      </w:pPr>
      <w:r>
        <w:t xml:space="preserve">later has become generally known to the public other </w:t>
      </w:r>
      <w:r>
        <w:tab/>
        <w:t>the technical and org</w:t>
      </w:r>
      <w:r>
        <w:t xml:space="preserve">anisational safeguards provided than as a result of unauthorised disclosure by the </w:t>
      </w:r>
      <w:r>
        <w:tab/>
        <w:t xml:space="preserve">by such entity; </w:t>
      </w:r>
    </w:p>
    <w:p w:rsidR="00D82F03" w:rsidRDefault="005E2919">
      <w:pPr>
        <w:spacing w:after="0"/>
        <w:ind w:left="1143"/>
      </w:pPr>
      <w:r>
        <w:t xml:space="preserve">Recipient; </w:t>
      </w:r>
    </w:p>
    <w:p w:rsidR="00D82F03" w:rsidRDefault="005E2919">
      <w:pPr>
        <w:numPr>
          <w:ilvl w:val="0"/>
          <w:numId w:val="2"/>
        </w:numPr>
        <w:spacing w:after="0" w:line="389" w:lineRule="auto"/>
        <w:ind w:left="1117" w:hanging="566"/>
      </w:pPr>
      <w:r>
        <w:t xml:space="preserve">use the Confidential Information only for the purposes (c) </w:t>
      </w:r>
      <w:r>
        <w:tab/>
        <w:t xml:space="preserve">has been independently developed by the Recipient </w:t>
      </w:r>
      <w:r>
        <w:tab/>
        <w:t>for which it was provided to the</w:t>
      </w:r>
      <w:r>
        <w:t xml:space="preserve"> Recipient; </w:t>
      </w:r>
    </w:p>
    <w:p w:rsidR="00D82F03" w:rsidRDefault="005E2919">
      <w:pPr>
        <w:spacing w:after="0"/>
        <w:ind w:left="1143"/>
      </w:pPr>
      <w:r>
        <w:t xml:space="preserve">without the aid or use of Confidential Information; or  </w:t>
      </w:r>
    </w:p>
    <w:p w:rsidR="00D82F03" w:rsidRDefault="005E2919">
      <w:pPr>
        <w:numPr>
          <w:ilvl w:val="0"/>
          <w:numId w:val="2"/>
        </w:numPr>
        <w:spacing w:after="63"/>
        <w:ind w:left="1117" w:hanging="566"/>
      </w:pPr>
      <w:r>
        <w:t xml:space="preserve">not reproduce, distribute or communicate the </w:t>
      </w:r>
    </w:p>
    <w:p w:rsidR="00D82F03" w:rsidRDefault="005E2919">
      <w:pPr>
        <w:numPr>
          <w:ilvl w:val="0"/>
          <w:numId w:val="3"/>
        </w:numPr>
        <w:spacing w:after="25"/>
        <w:ind w:left="1117" w:hanging="566"/>
      </w:pPr>
      <w:r>
        <w:lastRenderedPageBreak/>
        <w:t xml:space="preserve">that the Nordea Group has explicitly consented to not </w:t>
      </w:r>
      <w:r>
        <w:tab/>
        <w:t xml:space="preserve">Confidential Information in any manner or by any being considered confidential prior </w:t>
      </w:r>
      <w:r>
        <w:t xml:space="preserve">to or after </w:t>
      </w:r>
      <w:r>
        <w:tab/>
        <w:t xml:space="preserve">means, to a larger extent than strictly necessary for disclosure. </w:t>
      </w:r>
      <w:r>
        <w:tab/>
        <w:t xml:space="preserve">the purposes for which the information was disclosed. </w:t>
      </w:r>
    </w:p>
    <w:p w:rsidR="00D82F03" w:rsidRDefault="005E2919">
      <w:pPr>
        <w:spacing w:after="44"/>
        <w:ind w:left="551" w:firstLine="5670"/>
      </w:pPr>
      <w:r>
        <w:t xml:space="preserve">For the avoidance of doubt, the Recipient shall be Notwithstanding the above, information pertaining to any </w:t>
      </w:r>
      <w:r>
        <w:tab/>
        <w:t xml:space="preserve">entitled to </w:t>
      </w:r>
      <w:r>
        <w:t xml:space="preserve">reproduce the Confidential Information for customer of a member for the Nordea Group shall, however, </w:t>
      </w:r>
      <w:r>
        <w:tab/>
        <w:t xml:space="preserve">the purpose of back-up to the extent that such backalways be considered Confidential Information. </w:t>
      </w:r>
      <w:r>
        <w:tab/>
        <w:t xml:space="preserve">ups are handled and stored with at least the same </w:t>
      </w:r>
    </w:p>
    <w:p w:rsidR="00D82F03" w:rsidRDefault="005E2919">
      <w:pPr>
        <w:spacing w:after="3" w:line="259" w:lineRule="auto"/>
        <w:ind w:left="3793"/>
        <w:jc w:val="center"/>
      </w:pPr>
      <w:r>
        <w:t>degr</w:t>
      </w:r>
      <w:r>
        <w:t xml:space="preserve">ee of care; </w:t>
      </w:r>
    </w:p>
    <w:p w:rsidR="00D82F03" w:rsidRDefault="00D82F03">
      <w:pPr>
        <w:sectPr w:rsidR="00D82F03">
          <w:footerReference w:type="even" r:id="rId7"/>
          <w:footerReference w:type="default" r:id="rId8"/>
          <w:footerReference w:type="first" r:id="rId9"/>
          <w:pgSz w:w="11906" w:h="16838"/>
          <w:pgMar w:top="1440" w:right="1145" w:bottom="1440" w:left="1133" w:header="720" w:footer="566" w:gutter="0"/>
          <w:cols w:space="720"/>
        </w:sectPr>
      </w:pPr>
    </w:p>
    <w:p w:rsidR="00D82F03" w:rsidRDefault="005E2919">
      <w:pPr>
        <w:numPr>
          <w:ilvl w:val="0"/>
          <w:numId w:val="3"/>
        </w:numPr>
        <w:spacing w:after="0"/>
        <w:ind w:left="1117" w:hanging="566"/>
      </w:pPr>
      <w:r>
        <w:t>be entitled to disclose Confidentia</w:t>
      </w:r>
      <w:r>
        <w:t>l Information to its employees or representatives, including (but not limited to) colleagues, agents, attorneys, accountants, consultants, bankers and financial advisors, however, only to the extent necessary for the Recipient to fulfil its obligations tow</w:t>
      </w:r>
      <w:r>
        <w:t xml:space="preserve">ards Nordea, in order to obtain advice if a conflict arises between the parties, or as otherwise necessary to fulfil the purposes of the disclosure by Nordea, and subject to the Recipient accepting responsibility for such employees and </w:t>
      </w:r>
    </w:p>
    <w:p w:rsidR="00D82F03" w:rsidRDefault="005E2919">
      <w:pPr>
        <w:ind w:left="1143"/>
      </w:pPr>
      <w:r>
        <w:t xml:space="preserve">representatives as </w:t>
      </w:r>
      <w:r>
        <w:t xml:space="preserve">had the Recipient acted or failed to act itself; </w:t>
      </w:r>
    </w:p>
    <w:p w:rsidR="00D82F03" w:rsidRDefault="005E2919">
      <w:pPr>
        <w:numPr>
          <w:ilvl w:val="0"/>
          <w:numId w:val="3"/>
        </w:numPr>
        <w:ind w:left="1117" w:hanging="566"/>
      </w:pPr>
      <w:r>
        <w:t>be entitled to disclose Confidential Information to third parties to the extent that: (i) such third party has signed a NDA with the Nordea Group containing similar provisions and for the same purposes as i</w:t>
      </w:r>
      <w:r>
        <w:t xml:space="preserve">n this NDA; (ii) such third party is cooperating directly with the Recipient to perform obligations towards Nordea; and (iii) Nordea has been informed about such cooperation; </w:t>
      </w:r>
    </w:p>
    <w:p w:rsidR="00D82F03" w:rsidRDefault="005E2919">
      <w:pPr>
        <w:numPr>
          <w:ilvl w:val="0"/>
          <w:numId w:val="3"/>
        </w:numPr>
        <w:ind w:left="1117" w:hanging="566"/>
      </w:pPr>
      <w:r>
        <w:t>communicate to its employees (where applicable) and other representatives, who r</w:t>
      </w:r>
      <w:r>
        <w:t xml:space="preserve">eceive Confidential Information, the contents of this NDA, and take all reasonable steps to ensure that such employees or representatives comply with the obligations set out herein; </w:t>
      </w:r>
    </w:p>
    <w:p w:rsidR="00D82F03" w:rsidRDefault="005E2919">
      <w:pPr>
        <w:numPr>
          <w:ilvl w:val="0"/>
          <w:numId w:val="3"/>
        </w:numPr>
        <w:ind w:left="1117" w:hanging="566"/>
      </w:pPr>
      <w:r>
        <w:t>notify Nordea immediately, if the Recipient becomes aware of any unauthor</w:t>
      </w:r>
      <w:r>
        <w:t>ised use or disclosure of the Confidential Information by its employees or representatives, and use its best endeavours to regain possession of the Confidential Information in question, to prevent its further unauthorised use and take all necessary steps t</w:t>
      </w:r>
      <w:r>
        <w:t xml:space="preserve">o limit the consequences of such a breach of confidentiality; </w:t>
      </w:r>
    </w:p>
    <w:p w:rsidR="00D82F03" w:rsidRDefault="005E2919">
      <w:pPr>
        <w:numPr>
          <w:ilvl w:val="0"/>
          <w:numId w:val="3"/>
        </w:numPr>
        <w:ind w:left="1117" w:hanging="566"/>
      </w:pPr>
      <w:r>
        <w:t>immediately delete and/or return to the Nordea Group the Confidential Information and any copies hereof (including back-ups) upon request from the Nordea Group or when the Confidential Informat</w:t>
      </w:r>
      <w:r>
        <w:t xml:space="preserve">ion is no longer necessary for fulfilling its obligations towards the Nordea Group, subject to any requirements by law for the Recipient to retain copies of the Confidential Information; </w:t>
      </w:r>
    </w:p>
    <w:p w:rsidR="00D82F03" w:rsidRDefault="005E2919">
      <w:pPr>
        <w:numPr>
          <w:ilvl w:val="0"/>
          <w:numId w:val="3"/>
        </w:numPr>
        <w:ind w:left="1117" w:hanging="566"/>
      </w:pPr>
      <w:r>
        <w:t>upon request furnish Nordea with a written statement from the Recipi</w:t>
      </w:r>
      <w:r>
        <w:t xml:space="preserve">ent's management (where applicable), stating that the Recipient has complied with its obligations to delete or return the Confidential Information;  </w:t>
      </w:r>
    </w:p>
    <w:p w:rsidR="00D82F03" w:rsidRDefault="005E2919">
      <w:pPr>
        <w:numPr>
          <w:ilvl w:val="0"/>
          <w:numId w:val="3"/>
        </w:numPr>
        <w:ind w:left="1117" w:hanging="566"/>
      </w:pPr>
      <w:r>
        <w:t xml:space="preserve">comply with any statutory requirements with respect to the Confidential Information; and </w:t>
      </w:r>
    </w:p>
    <w:p w:rsidR="00D82F03" w:rsidRDefault="005E2919">
      <w:pPr>
        <w:numPr>
          <w:ilvl w:val="0"/>
          <w:numId w:val="3"/>
        </w:numPr>
        <w:ind w:left="1117" w:hanging="566"/>
      </w:pPr>
      <w:r>
        <w:t xml:space="preserve">comply with any </w:t>
      </w:r>
      <w:r>
        <w:t xml:space="preserve">instructions from Nordea from time to time with regard to the handling and use of the Confidential Information, or, where the Recipient does not wish to comply with such instructions, immediately return the relevant Confidential Information. </w:t>
      </w:r>
    </w:p>
    <w:p w:rsidR="00D82F03" w:rsidRDefault="005E2919">
      <w:pPr>
        <w:spacing w:after="163" w:line="259" w:lineRule="auto"/>
        <w:ind w:left="566" w:firstLine="0"/>
      </w:pPr>
      <w:r>
        <w:t xml:space="preserve"> </w:t>
      </w:r>
    </w:p>
    <w:p w:rsidR="00D82F03" w:rsidRDefault="005E2919">
      <w:pPr>
        <w:pStyle w:val="Heading1"/>
        <w:tabs>
          <w:tab w:val="center" w:pos="1527"/>
        </w:tabs>
        <w:ind w:left="-15" w:firstLine="0"/>
      </w:pPr>
      <w:r>
        <w:t xml:space="preserve">4. </w:t>
      </w:r>
      <w:r>
        <w:tab/>
      </w:r>
      <w:r>
        <w:t xml:space="preserve">Intellectual Property </w:t>
      </w:r>
    </w:p>
    <w:p w:rsidR="00D82F03" w:rsidRDefault="005E2919">
      <w:pPr>
        <w:ind w:left="561"/>
      </w:pPr>
      <w:r>
        <w:t>Nordea shall retain title to the Confidential Information and all copies or derivatives thereof. Except for the limited use of the Confidential Information authorised herein, Nordea grants the Recipient no copyright, patent, trademar</w:t>
      </w:r>
      <w:r>
        <w:t xml:space="preserve">k, trade secret or other intellectual property rights over the Confidential Information. </w:t>
      </w:r>
    </w:p>
    <w:p w:rsidR="00D82F03" w:rsidRDefault="005E2919">
      <w:pPr>
        <w:spacing w:after="163" w:line="259" w:lineRule="auto"/>
        <w:ind w:left="566" w:firstLine="0"/>
      </w:pPr>
      <w:r>
        <w:t xml:space="preserve"> </w:t>
      </w:r>
    </w:p>
    <w:p w:rsidR="00D82F03" w:rsidRDefault="005E2919">
      <w:pPr>
        <w:pStyle w:val="Heading1"/>
        <w:tabs>
          <w:tab w:val="center" w:pos="1982"/>
        </w:tabs>
        <w:ind w:left="-15" w:firstLine="0"/>
      </w:pPr>
      <w:r>
        <w:t xml:space="preserve">5. </w:t>
      </w:r>
      <w:r>
        <w:tab/>
        <w:t xml:space="preserve">Legal requirement to disclose </w:t>
      </w:r>
    </w:p>
    <w:p w:rsidR="00D82F03" w:rsidRDefault="005E2919">
      <w:pPr>
        <w:ind w:left="561"/>
      </w:pPr>
      <w:r>
        <w:t>If the Recipient is requested or required by a court or other competent authority to disclose any Confidential Information, the R</w:t>
      </w:r>
      <w:r>
        <w:t>ecipient shall (subject to any requirements to the contrary set out by law) promptly notify Nordea of such request or requirement in order to enable Nordea to seek an appropriate remedy and/or waive the Recipient's compliance with the provisions of this ND</w:t>
      </w:r>
      <w:r>
        <w:t xml:space="preserve">A. </w:t>
      </w:r>
    </w:p>
    <w:p w:rsidR="00D82F03" w:rsidRDefault="005E2919">
      <w:pPr>
        <w:ind w:left="561"/>
      </w:pPr>
      <w:r>
        <w:t xml:space="preserve">Where the circumstances do not allow for such prior notification to Nordea, the Recipient shall reasonably act in the Nordea Group's best interests and to the extent possible limit any disclosure of the Confidential Information. </w:t>
      </w:r>
    </w:p>
    <w:p w:rsidR="00D82F03" w:rsidRDefault="005E2919">
      <w:pPr>
        <w:spacing w:after="161" w:line="259" w:lineRule="auto"/>
        <w:ind w:left="566" w:firstLine="0"/>
      </w:pPr>
      <w:r>
        <w:t xml:space="preserve"> </w:t>
      </w:r>
    </w:p>
    <w:p w:rsidR="00D82F03" w:rsidRDefault="005E2919">
      <w:pPr>
        <w:pStyle w:val="Heading1"/>
        <w:tabs>
          <w:tab w:val="center" w:pos="1450"/>
        </w:tabs>
        <w:ind w:left="-15" w:firstLine="0"/>
      </w:pPr>
      <w:r>
        <w:t xml:space="preserve">6. </w:t>
      </w:r>
      <w:r>
        <w:tab/>
        <w:t>Breach of the ND</w:t>
      </w:r>
      <w:r>
        <w:t xml:space="preserve">A </w:t>
      </w:r>
    </w:p>
    <w:p w:rsidR="00D82F03" w:rsidRDefault="005E2919">
      <w:pPr>
        <w:ind w:left="561"/>
      </w:pPr>
      <w:r>
        <w:t xml:space="preserve">The Recipient shall be liable for any direct loss or damages arising from its breach of its obligations under this NDA. </w:t>
      </w:r>
    </w:p>
    <w:p w:rsidR="00D82F03" w:rsidRDefault="005E2919">
      <w:pPr>
        <w:ind w:left="561"/>
      </w:pPr>
      <w:r>
        <w:t>The Recipient acknowledges that parts of the Confidential Information, such as information relating to trade secrets or customers of</w:t>
      </w:r>
      <w:r>
        <w:t xml:space="preserve"> entities in the Nordea Group, are subject to statutory confidentiality obligations, which apply directly to the Recipient and are separately sanctioned. </w:t>
      </w:r>
    </w:p>
    <w:p w:rsidR="00D82F03" w:rsidRDefault="005E2919">
      <w:pPr>
        <w:spacing w:after="161" w:line="259" w:lineRule="auto"/>
        <w:ind w:left="566" w:firstLine="0"/>
      </w:pPr>
      <w:r>
        <w:t xml:space="preserve"> </w:t>
      </w:r>
    </w:p>
    <w:p w:rsidR="00D82F03" w:rsidRDefault="005E2919">
      <w:pPr>
        <w:pStyle w:val="Heading1"/>
        <w:tabs>
          <w:tab w:val="center" w:pos="1716"/>
        </w:tabs>
        <w:ind w:left="-15" w:firstLine="0"/>
      </w:pPr>
      <w:r>
        <w:t xml:space="preserve">7. </w:t>
      </w:r>
      <w:r>
        <w:tab/>
        <w:t xml:space="preserve">Termination and validity </w:t>
      </w:r>
    </w:p>
    <w:p w:rsidR="00D82F03" w:rsidRDefault="005E2919">
      <w:pPr>
        <w:spacing w:after="1"/>
        <w:ind w:left="561"/>
      </w:pPr>
      <w:r>
        <w:t xml:space="preserve">The obligations under this NDA are binding for a period of five </w:t>
      </w:r>
    </w:p>
    <w:p w:rsidR="00D82F03" w:rsidRDefault="005E2919">
      <w:pPr>
        <w:ind w:left="561"/>
      </w:pPr>
      <w:r>
        <w:t xml:space="preserve">(5) </w:t>
      </w:r>
      <w:r>
        <w:t xml:space="preserve">years from the disclosure of the relevant Confidential Information, however, subject to any longer obligations following from relevant law.  </w:t>
      </w:r>
    </w:p>
    <w:p w:rsidR="00D82F03" w:rsidRDefault="005E2919">
      <w:pPr>
        <w:spacing w:after="161" w:line="259" w:lineRule="auto"/>
        <w:ind w:left="566" w:firstLine="0"/>
      </w:pPr>
      <w:r>
        <w:t xml:space="preserve"> </w:t>
      </w:r>
    </w:p>
    <w:p w:rsidR="00D82F03" w:rsidRDefault="005E2919">
      <w:pPr>
        <w:pStyle w:val="Heading1"/>
        <w:tabs>
          <w:tab w:val="center" w:pos="1538"/>
        </w:tabs>
        <w:ind w:left="-15" w:firstLine="0"/>
      </w:pPr>
      <w:r>
        <w:t xml:space="preserve">8. </w:t>
      </w:r>
      <w:r>
        <w:tab/>
        <w:t xml:space="preserve">Limitation of liability </w:t>
      </w:r>
    </w:p>
    <w:p w:rsidR="00D82F03" w:rsidRDefault="005E2919">
      <w:pPr>
        <w:ind w:left="561"/>
      </w:pPr>
      <w:r>
        <w:t>Any information, whether confidential or not, provided by the Nordea Group shall be provided without warranties of any kind. Consequently, the Nordea Group shall not be liable for any damages arising out of the use of information disclosed hereunder, unles</w:t>
      </w:r>
      <w:r>
        <w:t>s otherwise explicitly provided for. Nordea therefore explicitly disclaims the responsibility for the accuracy or correctness of such information or for such information presenting a complete and full picture of the relevant part of the Nordea Group's busi</w:t>
      </w:r>
      <w:r>
        <w:t xml:space="preserve">ness, operations or processes etc. at the time of the disclosure or at any later time.  </w:t>
      </w:r>
    </w:p>
    <w:p w:rsidR="00D82F03" w:rsidRDefault="005E2919">
      <w:pPr>
        <w:spacing w:after="161" w:line="259" w:lineRule="auto"/>
        <w:ind w:left="566" w:firstLine="0"/>
      </w:pPr>
      <w:r>
        <w:t xml:space="preserve"> </w:t>
      </w:r>
    </w:p>
    <w:p w:rsidR="00D82F03" w:rsidRDefault="005E2919">
      <w:pPr>
        <w:pStyle w:val="Heading1"/>
        <w:tabs>
          <w:tab w:val="center" w:pos="1066"/>
        </w:tabs>
        <w:ind w:left="-15" w:firstLine="0"/>
      </w:pPr>
      <w:r>
        <w:lastRenderedPageBreak/>
        <w:t xml:space="preserve">9. </w:t>
      </w:r>
      <w:r>
        <w:tab/>
        <w:t xml:space="preserve">Severance </w:t>
      </w:r>
    </w:p>
    <w:p w:rsidR="00D82F03" w:rsidRDefault="005E2919">
      <w:pPr>
        <w:ind w:left="561"/>
      </w:pPr>
      <w:r>
        <w:t>If any provision of this NDA is held invalid, illegal or unenforceable for any reason, that provision shall be severed and the remainder of the provis</w:t>
      </w:r>
      <w:r>
        <w:t xml:space="preserve">ions of this NDA shall continue in full force and effect as if this NDA had been executed without the invalid provision. </w:t>
      </w:r>
    </w:p>
    <w:p w:rsidR="00D82F03" w:rsidRDefault="005E2919">
      <w:pPr>
        <w:spacing w:after="163" w:line="259" w:lineRule="auto"/>
        <w:ind w:left="566" w:firstLine="0"/>
      </w:pPr>
      <w:r>
        <w:t xml:space="preserve"> </w:t>
      </w:r>
    </w:p>
    <w:p w:rsidR="00D82F03" w:rsidRDefault="005E2919">
      <w:pPr>
        <w:pStyle w:val="Heading1"/>
        <w:tabs>
          <w:tab w:val="center" w:pos="2353"/>
        </w:tabs>
        <w:ind w:left="-15" w:firstLine="0"/>
      </w:pPr>
      <w:r>
        <w:t xml:space="preserve">10. </w:t>
      </w:r>
      <w:r>
        <w:tab/>
        <w:t xml:space="preserve">Governing law and dispute resolution </w:t>
      </w:r>
    </w:p>
    <w:p w:rsidR="00D82F03" w:rsidRDefault="005E2919">
      <w:pPr>
        <w:ind w:left="561"/>
      </w:pPr>
      <w:r>
        <w:t>This NDA shall be governed by and construed in accordance with the laws of Sweden without</w:t>
      </w:r>
      <w:r>
        <w:t xml:space="preserve"> reference to principles of choice or conflicts of law. </w:t>
      </w:r>
    </w:p>
    <w:p w:rsidR="00D82F03" w:rsidRDefault="005E2919">
      <w:pPr>
        <w:ind w:left="561"/>
      </w:pPr>
      <w:r>
        <w:t>Any dispute, controversy or claim arising out of or in connection with this NDA, or the breach, termination or invalidity thereof, shall be finally settled by arbitration in accordance with the Arbitration Rules of the Arbitration Institute of the Stockhol</w:t>
      </w:r>
      <w:r>
        <w:t xml:space="preserve">m Chamber of Commerce. The arbitral tribunal shall be composed of three arbitrators. </w:t>
      </w:r>
    </w:p>
    <w:p w:rsidR="00D82F03" w:rsidRDefault="005E2919">
      <w:pPr>
        <w:ind w:left="561"/>
      </w:pPr>
      <w:r>
        <w:t>The arbitration proceedings shall be conducted in the English language and take place in Stockholm, where any award shall be made. All information relating to the dispute</w:t>
      </w:r>
      <w:r>
        <w:t xml:space="preserve">, the arbitration proceedings and the arbitration award shall be kept confidential by the arbitrators and the Parties. </w:t>
      </w:r>
    </w:p>
    <w:p w:rsidR="00D82F03" w:rsidRDefault="005E2919">
      <w:pPr>
        <w:ind w:left="561"/>
      </w:pPr>
      <w:r>
        <w:t>Notwithstanding the above, the disclosing Party shall be entitled to seek injunctive relief, or to taking any other immediate action, th</w:t>
      </w:r>
      <w:r>
        <w:t xml:space="preserve">at may only be sought from a competent court, if it so deems necessary. </w:t>
      </w:r>
    </w:p>
    <w:p w:rsidR="00D82F03" w:rsidRDefault="005E2919">
      <w:pPr>
        <w:spacing w:after="149" w:line="259" w:lineRule="auto"/>
        <w:ind w:left="566" w:firstLine="0"/>
      </w:pPr>
      <w:r>
        <w:t xml:space="preserve"> </w:t>
      </w:r>
    </w:p>
    <w:p w:rsidR="00D82F03" w:rsidRDefault="005E2919">
      <w:pPr>
        <w:spacing w:after="146" w:line="259" w:lineRule="auto"/>
        <w:ind w:left="566" w:firstLine="0"/>
      </w:pPr>
      <w:r>
        <w:t xml:space="preserve"> </w:t>
      </w:r>
    </w:p>
    <w:p w:rsidR="00D82F03" w:rsidRDefault="005E2919">
      <w:pPr>
        <w:spacing w:after="161" w:line="259" w:lineRule="auto"/>
        <w:ind w:left="566" w:firstLine="0"/>
      </w:pPr>
      <w:r>
        <w:t xml:space="preserve"> </w:t>
      </w:r>
    </w:p>
    <w:p w:rsidR="00D82F03" w:rsidRDefault="005E2919">
      <w:pPr>
        <w:pStyle w:val="Heading1"/>
        <w:tabs>
          <w:tab w:val="center" w:pos="1082"/>
        </w:tabs>
        <w:ind w:left="-15" w:firstLine="0"/>
      </w:pPr>
      <w:r>
        <w:t xml:space="preserve">11. </w:t>
      </w:r>
      <w:r>
        <w:tab/>
        <w:t xml:space="preserve">Signatures </w:t>
      </w:r>
    </w:p>
    <w:p w:rsidR="00D82F03" w:rsidRDefault="005E2919">
      <w:pPr>
        <w:ind w:left="561"/>
      </w:pPr>
      <w:r>
        <w:t xml:space="preserve">By signing below the Recipient agrees to be bound by this NDA.  </w:t>
      </w:r>
    </w:p>
    <w:p w:rsidR="00D82F03" w:rsidRDefault="005E2919">
      <w:pPr>
        <w:spacing w:after="0" w:line="259" w:lineRule="auto"/>
        <w:ind w:left="566" w:firstLine="0"/>
      </w:pPr>
      <w:r>
        <w:t xml:space="preserve"> </w:t>
      </w:r>
    </w:p>
    <w:tbl>
      <w:tblPr>
        <w:tblStyle w:val="TableGrid"/>
        <w:tblW w:w="4753" w:type="dxa"/>
        <w:tblInd w:w="-108" w:type="dxa"/>
        <w:tblCellMar>
          <w:top w:w="82" w:type="dxa"/>
          <w:left w:w="108" w:type="dxa"/>
          <w:bottom w:w="0" w:type="dxa"/>
          <w:right w:w="115" w:type="dxa"/>
        </w:tblCellMar>
        <w:tblLook w:val="04A0" w:firstRow="1" w:lastRow="0" w:firstColumn="1" w:lastColumn="0" w:noHBand="0" w:noVBand="1"/>
      </w:tblPr>
      <w:tblGrid>
        <w:gridCol w:w="4753"/>
      </w:tblGrid>
      <w:tr w:rsidR="00D82F03">
        <w:trPr>
          <w:trHeight w:val="591"/>
        </w:trPr>
        <w:tc>
          <w:tcPr>
            <w:tcW w:w="4753" w:type="dxa"/>
            <w:tcBorders>
              <w:top w:val="single" w:sz="4" w:space="0" w:color="000000"/>
              <w:left w:val="single" w:sz="4" w:space="0" w:color="000000"/>
              <w:bottom w:val="single" w:sz="4" w:space="0" w:color="000000"/>
              <w:right w:val="single" w:sz="4" w:space="0" w:color="000000"/>
            </w:tcBorders>
          </w:tcPr>
          <w:p w:rsidR="00D82F03" w:rsidRDefault="005E2919">
            <w:pPr>
              <w:spacing w:after="60" w:line="259" w:lineRule="auto"/>
              <w:ind w:left="0" w:firstLine="0"/>
            </w:pPr>
            <w:r>
              <w:rPr>
                <w:sz w:val="16"/>
              </w:rPr>
              <w:t xml:space="preserve">City and date </w:t>
            </w:r>
          </w:p>
          <w:p w:rsidR="00D82F03" w:rsidRDefault="005E2919">
            <w:pPr>
              <w:spacing w:after="0" w:line="259" w:lineRule="auto"/>
              <w:ind w:left="0" w:firstLine="0"/>
            </w:pPr>
            <w:r>
              <w:rPr>
                <w:b/>
                <w:sz w:val="16"/>
              </w:rPr>
              <w:t xml:space="preserve">Mumbai,  </w:t>
            </w:r>
          </w:p>
        </w:tc>
      </w:tr>
      <w:tr w:rsidR="00D82F03">
        <w:trPr>
          <w:trHeight w:val="590"/>
        </w:trPr>
        <w:tc>
          <w:tcPr>
            <w:tcW w:w="4753" w:type="dxa"/>
            <w:tcBorders>
              <w:top w:val="single" w:sz="4" w:space="0" w:color="000000"/>
              <w:left w:val="single" w:sz="4" w:space="0" w:color="000000"/>
              <w:bottom w:val="single" w:sz="4" w:space="0" w:color="000000"/>
              <w:right w:val="single" w:sz="4" w:space="0" w:color="000000"/>
            </w:tcBorders>
          </w:tcPr>
          <w:p w:rsidR="00D82F03" w:rsidRDefault="005E2919">
            <w:pPr>
              <w:spacing w:after="62" w:line="259" w:lineRule="auto"/>
              <w:ind w:left="0" w:firstLine="0"/>
            </w:pPr>
            <w:r>
              <w:rPr>
                <w:sz w:val="16"/>
              </w:rPr>
              <w:t xml:space="preserve">Signature of Recipient </w:t>
            </w:r>
          </w:p>
          <w:p w:rsidR="00D82F03" w:rsidRDefault="005E2919">
            <w:pPr>
              <w:spacing w:after="0" w:line="259" w:lineRule="auto"/>
              <w:ind w:left="0" w:firstLine="0"/>
            </w:pPr>
            <w:r>
              <w:rPr>
                <w:sz w:val="16"/>
              </w:rPr>
              <w:t xml:space="preserve"> </w:t>
            </w:r>
          </w:p>
        </w:tc>
      </w:tr>
      <w:tr w:rsidR="00D82F03">
        <w:trPr>
          <w:trHeight w:val="590"/>
        </w:trPr>
        <w:tc>
          <w:tcPr>
            <w:tcW w:w="4753" w:type="dxa"/>
            <w:tcBorders>
              <w:top w:val="single" w:sz="4" w:space="0" w:color="000000"/>
              <w:left w:val="single" w:sz="4" w:space="0" w:color="000000"/>
              <w:bottom w:val="single" w:sz="4" w:space="0" w:color="000000"/>
              <w:right w:val="single" w:sz="4" w:space="0" w:color="000000"/>
            </w:tcBorders>
          </w:tcPr>
          <w:p w:rsidR="00D82F03" w:rsidRDefault="005E2919">
            <w:pPr>
              <w:spacing w:after="60" w:line="259" w:lineRule="auto"/>
              <w:ind w:left="0" w:firstLine="0"/>
            </w:pPr>
            <w:r>
              <w:rPr>
                <w:sz w:val="16"/>
              </w:rPr>
              <w:t xml:space="preserve">Name, printed </w:t>
            </w:r>
          </w:p>
          <w:p w:rsidR="00D82F03" w:rsidRDefault="005E2919">
            <w:pPr>
              <w:spacing w:after="0" w:line="259" w:lineRule="auto"/>
              <w:ind w:left="0" w:firstLine="0"/>
            </w:pPr>
            <w:r>
              <w:rPr>
                <w:sz w:val="16"/>
              </w:rPr>
              <w:t xml:space="preserve"> </w:t>
            </w:r>
            <w:r w:rsidR="007A3763">
              <w:rPr>
                <w:sz w:val="16"/>
              </w:rPr>
              <w:t>KRISHNA PRIYANKA TIRUNAGARI</w:t>
            </w:r>
            <w:bookmarkStart w:id="0" w:name="_GoBack"/>
            <w:bookmarkEnd w:id="0"/>
          </w:p>
        </w:tc>
      </w:tr>
    </w:tbl>
    <w:p w:rsidR="00D82F03" w:rsidRDefault="005E2919">
      <w:pPr>
        <w:spacing w:after="134" w:line="259" w:lineRule="auto"/>
        <w:ind w:left="0" w:firstLine="0"/>
      </w:pPr>
      <w:r>
        <w:rPr>
          <w:sz w:val="20"/>
        </w:rPr>
        <w:t xml:space="preserve"> </w:t>
      </w:r>
    </w:p>
    <w:p w:rsidR="00D82F03" w:rsidRDefault="005E2919">
      <w:pPr>
        <w:spacing w:after="0" w:line="259" w:lineRule="auto"/>
        <w:ind w:left="566" w:firstLine="0"/>
      </w:pPr>
      <w:r>
        <w:rPr>
          <w:sz w:val="20"/>
        </w:rPr>
        <w:t xml:space="preserve"> </w:t>
      </w:r>
    </w:p>
    <w:sectPr w:rsidR="00D82F03">
      <w:type w:val="continuous"/>
      <w:pgSz w:w="11906" w:h="16838"/>
      <w:pgMar w:top="1175" w:right="1161" w:bottom="1476" w:left="1133" w:header="720" w:footer="720" w:gutter="0"/>
      <w:cols w:num="2" w:space="56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919" w:rsidRDefault="005E2919">
      <w:pPr>
        <w:spacing w:after="0" w:line="240" w:lineRule="auto"/>
      </w:pPr>
      <w:r>
        <w:separator/>
      </w:r>
    </w:p>
  </w:endnote>
  <w:endnote w:type="continuationSeparator" w:id="0">
    <w:p w:rsidR="005E2919" w:rsidRDefault="005E2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F03" w:rsidRDefault="005E2919">
    <w:pPr>
      <w:tabs>
        <w:tab w:val="right" w:pos="9628"/>
      </w:tabs>
      <w:spacing w:after="0" w:line="259" w:lineRule="auto"/>
      <w:ind w:left="0" w:right="-10" w:firstLine="0"/>
    </w:pPr>
    <w:r>
      <w:rPr>
        <w:i/>
      </w:rPr>
      <w:t xml:space="preserve">Nordea Group – Appendix </w:t>
    </w:r>
    <w:r>
      <w:rPr>
        <w:i/>
      </w:rPr>
      <w:fldChar w:fldCharType="begin"/>
    </w:r>
    <w:r>
      <w:rPr>
        <w:i/>
      </w:rPr>
      <w:instrText xml:space="preserve"> NUMPAGES   \* MERGEFORMAT </w:instrText>
    </w:r>
    <w:r>
      <w:rPr>
        <w:i/>
      </w:rPr>
      <w:fldChar w:fldCharType="separate"/>
    </w:r>
    <w:r>
      <w:rPr>
        <w:i/>
      </w:rPr>
      <w:t>3</w:t>
    </w:r>
    <w:r>
      <w:rPr>
        <w:i/>
      </w:rPr>
      <w:fldChar w:fldCharType="end"/>
    </w:r>
    <w:r>
      <w:rPr>
        <w:i/>
      </w:rPr>
      <w:t xml:space="preserve"> – Confidentiality undertaking template (version </w:t>
    </w:r>
    <w:r>
      <w:rPr>
        <w:i/>
      </w:rPr>
      <w:fldChar w:fldCharType="begin"/>
    </w:r>
    <w:r>
      <w:rPr>
        <w:i/>
      </w:rPr>
      <w:instrText xml:space="preserve"> NUMPAGES   \* MERGEFORMAT </w:instrText>
    </w:r>
    <w:r>
      <w:rPr>
        <w:i/>
      </w:rPr>
      <w:fldChar w:fldCharType="separate"/>
    </w:r>
    <w:r>
      <w:rPr>
        <w:i/>
      </w:rPr>
      <w:t>3</w:t>
    </w:r>
    <w:r>
      <w:rPr>
        <w:i/>
      </w:rPr>
      <w:fldChar w:fldCharType="end"/>
    </w:r>
    <w:r>
      <w:rPr>
        <w:i/>
      </w:rPr>
      <w:t xml:space="preserve">.0) </w:t>
    </w:r>
    <w:r>
      <w:rPr>
        <w:i/>
      </w:rPr>
      <w:tab/>
      <w:t xml:space="preserve">Page </w:t>
    </w:r>
    <w:r>
      <w:rPr>
        <w:i/>
      </w:rPr>
      <w:fldChar w:fldCharType="begin"/>
    </w:r>
    <w:r>
      <w:rPr>
        <w:i/>
      </w:rPr>
      <w:instrText xml:space="preserve"> PAGE   \* MERGEFORMAT </w:instrText>
    </w:r>
    <w:r>
      <w:rPr>
        <w:i/>
      </w:rPr>
      <w:fldChar w:fldCharType="separate"/>
    </w:r>
    <w:r>
      <w:rPr>
        <w:i/>
      </w:rPr>
      <w:t>1</w:t>
    </w:r>
    <w:r>
      <w:rPr>
        <w:i/>
      </w:rPr>
      <w:fldChar w:fldCharType="end"/>
    </w:r>
    <w:r>
      <w:rPr>
        <w:i/>
      </w:rPr>
      <w:t xml:space="preserve"> </w:t>
    </w:r>
    <w:r>
      <w:rPr>
        <w:i/>
      </w:rPr>
      <w:t xml:space="preserve">of </w:t>
    </w:r>
    <w:r>
      <w:rPr>
        <w:i/>
      </w:rPr>
      <w:fldChar w:fldCharType="begin"/>
    </w:r>
    <w:r>
      <w:rPr>
        <w:i/>
      </w:rPr>
      <w:instrText xml:space="preserve"> NUMPAGES   \* MERGEFORMAT </w:instrText>
    </w:r>
    <w:r>
      <w:rPr>
        <w:i/>
      </w:rPr>
      <w:fldChar w:fldCharType="separate"/>
    </w:r>
    <w:r>
      <w:rPr>
        <w:i/>
      </w:rPr>
      <w:t>3</w:t>
    </w:r>
    <w:r>
      <w:rPr>
        <w:i/>
      </w:rPr>
      <w:fldChar w:fldCharType="end"/>
    </w:r>
    <w:r>
      <w:rPr>
        <w: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F03" w:rsidRDefault="005E2919">
    <w:pPr>
      <w:tabs>
        <w:tab w:val="right" w:pos="9628"/>
      </w:tabs>
      <w:spacing w:after="0" w:line="259" w:lineRule="auto"/>
      <w:ind w:left="0" w:right="-10" w:firstLine="0"/>
    </w:pPr>
    <w:r>
      <w:rPr>
        <w:i/>
      </w:rPr>
      <w:t xml:space="preserve">Nordea Group – Appendix </w:t>
    </w:r>
    <w:r>
      <w:rPr>
        <w:i/>
      </w:rPr>
      <w:fldChar w:fldCharType="begin"/>
    </w:r>
    <w:r>
      <w:rPr>
        <w:i/>
      </w:rPr>
      <w:instrText xml:space="preserve"> NUMPAGES   \* MERGEFORMAT </w:instrText>
    </w:r>
    <w:r>
      <w:rPr>
        <w:i/>
      </w:rPr>
      <w:fldChar w:fldCharType="separate"/>
    </w:r>
    <w:r w:rsidR="007A3763">
      <w:rPr>
        <w:i/>
        <w:noProof/>
      </w:rPr>
      <w:t>3</w:t>
    </w:r>
    <w:r>
      <w:rPr>
        <w:i/>
      </w:rPr>
      <w:fldChar w:fldCharType="end"/>
    </w:r>
    <w:r>
      <w:rPr>
        <w:i/>
      </w:rPr>
      <w:t xml:space="preserve"> – Confidentiality undertaking template (version </w:t>
    </w:r>
    <w:r>
      <w:rPr>
        <w:i/>
      </w:rPr>
      <w:fldChar w:fldCharType="begin"/>
    </w:r>
    <w:r>
      <w:rPr>
        <w:i/>
      </w:rPr>
      <w:instrText xml:space="preserve"> NUMPAGES   \* MERGEFORMAT </w:instrText>
    </w:r>
    <w:r>
      <w:rPr>
        <w:i/>
      </w:rPr>
      <w:fldChar w:fldCharType="separate"/>
    </w:r>
    <w:r w:rsidR="007A3763">
      <w:rPr>
        <w:i/>
        <w:noProof/>
      </w:rPr>
      <w:t>3</w:t>
    </w:r>
    <w:r>
      <w:rPr>
        <w:i/>
      </w:rPr>
      <w:fldChar w:fldCharType="end"/>
    </w:r>
    <w:r>
      <w:rPr>
        <w:i/>
      </w:rPr>
      <w:t xml:space="preserve">.0) </w:t>
    </w:r>
    <w:r>
      <w:rPr>
        <w:i/>
      </w:rPr>
      <w:tab/>
      <w:t xml:space="preserve">Page </w:t>
    </w:r>
    <w:r>
      <w:rPr>
        <w:i/>
      </w:rPr>
      <w:fldChar w:fldCharType="begin"/>
    </w:r>
    <w:r>
      <w:rPr>
        <w:i/>
      </w:rPr>
      <w:instrText xml:space="preserve"> PAGE   \* MERGEFORMAT </w:instrText>
    </w:r>
    <w:r>
      <w:rPr>
        <w:i/>
      </w:rPr>
      <w:fldChar w:fldCharType="separate"/>
    </w:r>
    <w:r w:rsidR="007A3763">
      <w:rPr>
        <w:i/>
        <w:noProof/>
      </w:rPr>
      <w:t>3</w:t>
    </w:r>
    <w:r>
      <w:rPr>
        <w:i/>
      </w:rPr>
      <w:fldChar w:fldCharType="end"/>
    </w:r>
    <w:r>
      <w:rPr>
        <w:i/>
      </w:rPr>
      <w:t xml:space="preserve"> of </w:t>
    </w:r>
    <w:r>
      <w:rPr>
        <w:i/>
      </w:rPr>
      <w:fldChar w:fldCharType="begin"/>
    </w:r>
    <w:r>
      <w:rPr>
        <w:i/>
      </w:rPr>
      <w:instrText xml:space="preserve"> NUMPAGES   \* MERGEFORMAT </w:instrText>
    </w:r>
    <w:r>
      <w:rPr>
        <w:i/>
      </w:rPr>
      <w:fldChar w:fldCharType="separate"/>
    </w:r>
    <w:r w:rsidR="007A3763">
      <w:rPr>
        <w:i/>
        <w:noProof/>
      </w:rPr>
      <w:t>3</w:t>
    </w:r>
    <w:r>
      <w:rPr>
        <w:i/>
      </w:rPr>
      <w:fldChar w:fldCharType="end"/>
    </w:r>
    <w:r>
      <w:rPr>
        <w: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F03" w:rsidRDefault="005E2919">
    <w:pPr>
      <w:tabs>
        <w:tab w:val="right" w:pos="9628"/>
      </w:tabs>
      <w:spacing w:after="0" w:line="259" w:lineRule="auto"/>
      <w:ind w:left="0" w:right="-10" w:firstLine="0"/>
    </w:pPr>
    <w:r>
      <w:rPr>
        <w:i/>
      </w:rPr>
      <w:t xml:space="preserve">Nordea Group – Appendix </w:t>
    </w:r>
    <w:r>
      <w:rPr>
        <w:i/>
      </w:rPr>
      <w:fldChar w:fldCharType="begin"/>
    </w:r>
    <w:r>
      <w:rPr>
        <w:i/>
      </w:rPr>
      <w:instrText xml:space="preserve"> NUMPAGES   \* MERGEFORMAT </w:instrText>
    </w:r>
    <w:r>
      <w:rPr>
        <w:i/>
      </w:rPr>
      <w:fldChar w:fldCharType="separate"/>
    </w:r>
    <w:r>
      <w:rPr>
        <w:i/>
      </w:rPr>
      <w:t>3</w:t>
    </w:r>
    <w:r>
      <w:rPr>
        <w:i/>
      </w:rPr>
      <w:fldChar w:fldCharType="end"/>
    </w:r>
    <w:r>
      <w:rPr>
        <w:i/>
      </w:rPr>
      <w:t xml:space="preserve"> – Confidentiality undertaking template (version </w:t>
    </w:r>
    <w:r>
      <w:rPr>
        <w:i/>
      </w:rPr>
      <w:fldChar w:fldCharType="begin"/>
    </w:r>
    <w:r>
      <w:rPr>
        <w:i/>
      </w:rPr>
      <w:instrText xml:space="preserve"> NUMPAGES   \* MERGEFORMAT </w:instrText>
    </w:r>
    <w:r>
      <w:rPr>
        <w:i/>
      </w:rPr>
      <w:fldChar w:fldCharType="separate"/>
    </w:r>
    <w:r>
      <w:rPr>
        <w:i/>
      </w:rPr>
      <w:t>3</w:t>
    </w:r>
    <w:r>
      <w:rPr>
        <w:i/>
      </w:rPr>
      <w:fldChar w:fldCharType="end"/>
    </w:r>
    <w:r>
      <w:rPr>
        <w:i/>
      </w:rPr>
      <w:t xml:space="preserve">.0) </w:t>
    </w:r>
    <w:r>
      <w:rPr>
        <w:i/>
      </w:rPr>
      <w:tab/>
      <w:t xml:space="preserve">Page </w:t>
    </w:r>
    <w:r>
      <w:rPr>
        <w:i/>
      </w:rPr>
      <w:fldChar w:fldCharType="begin"/>
    </w:r>
    <w:r>
      <w:rPr>
        <w:i/>
      </w:rPr>
      <w:instrText xml:space="preserve"> PAGE   \* MERGEFORMAT </w:instrText>
    </w:r>
    <w:r>
      <w:rPr>
        <w:i/>
      </w:rPr>
      <w:fldChar w:fldCharType="separate"/>
    </w:r>
    <w:r>
      <w:rPr>
        <w:i/>
      </w:rPr>
      <w:t>1</w:t>
    </w:r>
    <w:r>
      <w:rPr>
        <w:i/>
      </w:rPr>
      <w:fldChar w:fldCharType="end"/>
    </w:r>
    <w:r>
      <w:rPr>
        <w:i/>
      </w:rPr>
      <w:t xml:space="preserve"> of </w:t>
    </w:r>
    <w:r>
      <w:rPr>
        <w:i/>
      </w:rPr>
      <w:fldChar w:fldCharType="begin"/>
    </w:r>
    <w:r>
      <w:rPr>
        <w:i/>
      </w:rPr>
      <w:instrText xml:space="preserve"> NUMPAGES   \* MERGEFORMAT </w:instrText>
    </w:r>
    <w:r>
      <w:rPr>
        <w:i/>
      </w:rPr>
      <w:fldChar w:fldCharType="separate"/>
    </w:r>
    <w:r>
      <w:rPr>
        <w:i/>
      </w:rPr>
      <w:t>3</w:t>
    </w:r>
    <w:r>
      <w:rPr>
        <w:i/>
      </w:rPr>
      <w:fldChar w:fldCharType="end"/>
    </w:r>
    <w:r>
      <w:rPr>
        <w: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919" w:rsidRDefault="005E2919">
      <w:pPr>
        <w:spacing w:after="0" w:line="240" w:lineRule="auto"/>
      </w:pPr>
      <w:r>
        <w:separator/>
      </w:r>
    </w:p>
  </w:footnote>
  <w:footnote w:type="continuationSeparator" w:id="0">
    <w:p w:rsidR="005E2919" w:rsidRDefault="005E29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065B8"/>
    <w:multiLevelType w:val="hybridMultilevel"/>
    <w:tmpl w:val="2712593C"/>
    <w:lvl w:ilvl="0" w:tplc="E1D66094">
      <w:start w:val="4"/>
      <w:numFmt w:val="lowerLetter"/>
      <w:lvlText w:val="(%1)"/>
      <w:lvlJc w:val="left"/>
      <w:pPr>
        <w:ind w:left="1118"/>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9F6C9500">
      <w:start w:val="1"/>
      <w:numFmt w:val="lowerLetter"/>
      <w:lvlText w:val="%2"/>
      <w:lvlJc w:val="left"/>
      <w:pPr>
        <w:ind w:left="164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B5669FDE">
      <w:start w:val="1"/>
      <w:numFmt w:val="lowerRoman"/>
      <w:lvlText w:val="%3"/>
      <w:lvlJc w:val="left"/>
      <w:pPr>
        <w:ind w:left="236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ACB2C44A">
      <w:start w:val="1"/>
      <w:numFmt w:val="decimal"/>
      <w:lvlText w:val="%4"/>
      <w:lvlJc w:val="left"/>
      <w:pPr>
        <w:ind w:left="308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CB5AF87C">
      <w:start w:val="1"/>
      <w:numFmt w:val="lowerLetter"/>
      <w:lvlText w:val="%5"/>
      <w:lvlJc w:val="left"/>
      <w:pPr>
        <w:ind w:left="380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364674B6">
      <w:start w:val="1"/>
      <w:numFmt w:val="lowerRoman"/>
      <w:lvlText w:val="%6"/>
      <w:lvlJc w:val="left"/>
      <w:pPr>
        <w:ind w:left="452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FEB0687C">
      <w:start w:val="1"/>
      <w:numFmt w:val="decimal"/>
      <w:lvlText w:val="%7"/>
      <w:lvlJc w:val="left"/>
      <w:pPr>
        <w:ind w:left="524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D3D2B0B6">
      <w:start w:val="1"/>
      <w:numFmt w:val="lowerLetter"/>
      <w:lvlText w:val="%8"/>
      <w:lvlJc w:val="left"/>
      <w:pPr>
        <w:ind w:left="596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E0C451E2">
      <w:start w:val="1"/>
      <w:numFmt w:val="lowerRoman"/>
      <w:lvlText w:val="%9"/>
      <w:lvlJc w:val="left"/>
      <w:pPr>
        <w:ind w:left="668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15144F5E"/>
    <w:multiLevelType w:val="multilevel"/>
    <w:tmpl w:val="188CFE1E"/>
    <w:lvl w:ilvl="0">
      <w:start w:val="1"/>
      <w:numFmt w:val="decimal"/>
      <w:lvlText w:val="%1."/>
      <w:lvlJc w:val="left"/>
      <w:pPr>
        <w:ind w:left="56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56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419E176C"/>
    <w:multiLevelType w:val="hybridMultilevel"/>
    <w:tmpl w:val="8A7C3B2A"/>
    <w:lvl w:ilvl="0" w:tplc="1F8CC198">
      <w:start w:val="1"/>
      <w:numFmt w:val="lowerLetter"/>
      <w:lvlText w:val="(%1)"/>
      <w:lvlJc w:val="left"/>
      <w:pPr>
        <w:ind w:left="1118"/>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9F02B22E">
      <w:start w:val="1"/>
      <w:numFmt w:val="lowerLetter"/>
      <w:lvlText w:val="%2"/>
      <w:lvlJc w:val="left"/>
      <w:pPr>
        <w:ind w:left="4198"/>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37925B30">
      <w:start w:val="1"/>
      <w:numFmt w:val="lowerRoman"/>
      <w:lvlText w:val="%3"/>
      <w:lvlJc w:val="left"/>
      <w:pPr>
        <w:ind w:left="4918"/>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D28CC6AA">
      <w:start w:val="1"/>
      <w:numFmt w:val="decimal"/>
      <w:lvlText w:val="%4"/>
      <w:lvlJc w:val="left"/>
      <w:pPr>
        <w:ind w:left="5638"/>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E9A61C52">
      <w:start w:val="1"/>
      <w:numFmt w:val="lowerLetter"/>
      <w:lvlText w:val="%5"/>
      <w:lvlJc w:val="left"/>
      <w:pPr>
        <w:ind w:left="6358"/>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CCA8C47C">
      <w:start w:val="1"/>
      <w:numFmt w:val="lowerRoman"/>
      <w:lvlText w:val="%6"/>
      <w:lvlJc w:val="left"/>
      <w:pPr>
        <w:ind w:left="7078"/>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83BC4D62">
      <w:start w:val="1"/>
      <w:numFmt w:val="decimal"/>
      <w:lvlText w:val="%7"/>
      <w:lvlJc w:val="left"/>
      <w:pPr>
        <w:ind w:left="7798"/>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33A00DC0">
      <w:start w:val="1"/>
      <w:numFmt w:val="lowerLetter"/>
      <w:lvlText w:val="%8"/>
      <w:lvlJc w:val="left"/>
      <w:pPr>
        <w:ind w:left="8518"/>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BC50FF6A">
      <w:start w:val="1"/>
      <w:numFmt w:val="lowerRoman"/>
      <w:lvlText w:val="%9"/>
      <w:lvlJc w:val="left"/>
      <w:pPr>
        <w:ind w:left="9238"/>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F03"/>
    <w:rsid w:val="005E2919"/>
    <w:rsid w:val="007A3763"/>
    <w:rsid w:val="00D82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90D8AE-22F6-4050-8F79-F09DEAB8C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7" w:line="304" w:lineRule="auto"/>
      <w:ind w:left="10" w:hanging="10"/>
    </w:pPr>
    <w:rPr>
      <w:rFonts w:ascii="Arial" w:eastAsia="Arial" w:hAnsi="Arial" w:cs="Arial"/>
      <w:color w:val="000000"/>
      <w:sz w:val="14"/>
    </w:rPr>
  </w:style>
  <w:style w:type="paragraph" w:styleId="Heading1">
    <w:name w:val="heading 1"/>
    <w:next w:val="Normal"/>
    <w:link w:val="Heading1Char"/>
    <w:uiPriority w:val="9"/>
    <w:unhideWhenUsed/>
    <w:qFormat/>
    <w:pPr>
      <w:keepNext/>
      <w:keepLines/>
      <w:spacing w:after="95"/>
      <w:ind w:left="10" w:hanging="10"/>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1615</Words>
  <Characters>9212</Characters>
  <Application>Microsoft Office Word</Application>
  <DocSecurity>0</DocSecurity>
  <Lines>76</Lines>
  <Paragraphs>21</Paragraphs>
  <ScaleCrop>false</ScaleCrop>
  <Company>Capgemini</Company>
  <LinksUpToDate>false</LinksUpToDate>
  <CharactersWithSpaces>10806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Tirunagari, Krishna Priyanka</cp:lastModifiedBy>
  <cp:revision>2</cp:revision>
  <dcterms:created xsi:type="dcterms:W3CDTF">2019-02-01T07:58:00Z</dcterms:created>
  <dcterms:modified xsi:type="dcterms:W3CDTF">2019-02-20T07:54:00Z</dcterms:modified>
</cp:coreProperties>
</file>