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Framework, Model &amp; Explanation — ACN1408 (for Complete Specification)</w:t>
      </w:r>
    </w:p>
    <w:p>
      <w:pPr>
        <w:pStyle w:val="Heading1"/>
      </w:pPr>
      <w:r>
        <w:t>AI Framework &amp; Model — Disclosure Text for the Complete Specification (ACN1408)</w:t>
      </w:r>
    </w:p>
    <w:p>
      <w:r>
        <w:t>*Drop-in technical-disclosure section for the Form-2 Complete Specification. Patent-style,</w:t>
      </w:r>
    </w:p>
    <w:p>
      <w:r>
        <w:t xml:space="preserve">enablement-level. Reference numerals match </w:t>
      </w:r>
      <w:r>
        <w:rPr>
          <w:rFonts w:ascii="Consolas" w:hAnsi="Consolas"/>
        </w:rPr>
        <w:t>reference_numerals.md</w:t>
      </w:r>
      <w:r>
        <w:t xml:space="preserve"> and Figures 1–5. Where</w:t>
      </w:r>
    </w:p>
    <w:p>
      <w:r>
        <w:t xml:space="preserve">the as-built embodiment differs from the provisional, see </w:t>
      </w:r>
      <w:r>
        <w:rPr>
          <w:rFonts w:ascii="Consolas" w:hAnsi="Consolas"/>
        </w:rPr>
        <w:t>provisional_reconciliation.md</w:t>
      </w:r>
    </w:p>
    <w:p>
      <w:r>
        <w:t>(the patent agent should reconcile the claim language accordingly).*</w:t>
      </w:r>
    </w:p>
    <w:p>
      <w:pPr>
        <w:pStyle w:val="Heading2"/>
      </w:pPr>
      <w:r>
        <w:t>1. System overview (FIG. 1)</w:t>
      </w:r>
    </w:p>
    <w:p>
      <w:r>
        <w:t>The AI-based alcohol detection and vehicle ignition prevention system (100) comprises a</w:t>
      </w:r>
    </w:p>
    <w:p>
      <w:r>
        <w:t>wearable smartwatch device (110) and a vehicle control module (150) coupled by a secure</w:t>
      </w:r>
    </w:p>
    <w:p>
      <w:r>
        <w:t>Bluetooth Low Energy link (140). The smartwatch (110) carries a photoplethysmography</w:t>
      </w:r>
    </w:p>
    <w:p>
      <w:r>
        <w:t>sensor (112), an electrodermal-activity channel (114), and a skin/ambient temperature</w:t>
      </w:r>
    </w:p>
    <w:p>
      <w:r>
        <w:t>sensor (116). An on-device inference engine (118) executes an AI/ML module (120) that</w:t>
      </w:r>
    </w:p>
    <w:p>
      <w:r>
        <w:t>estimates blood alcohol concentration (BAC) from the sensed physiological signals.</w:t>
      </w:r>
    </w:p>
    <w:p>
      <w:r>
        <w:t>The estimated BAC, together with a confidence value and status flags, is transmitted as a</w:t>
      </w:r>
    </w:p>
    <w:p>
      <w:r>
        <w:t>periodic status packet over the secure link (140) to the vehicle control module (150),</w:t>
      </w:r>
    </w:p>
    <w:p>
      <w:r>
        <w:t>which comprises a BLE receiver (152), fail-safe decision logic (154), and a relay/MOSFET</w:t>
      </w:r>
    </w:p>
    <w:p>
      <w:r>
        <w:t>ignition switch (156) coupled to the vehicle ignition / OBD-II / ECU interface (160).</w:t>
      </w:r>
    </w:p>
    <w:p>
      <w:r>
        <w:t>Status indicators (170) and a manual override button (180) are provided. The decision</w:t>
      </w:r>
    </w:p>
    <w:p>
      <w:r>
        <w:t xml:space="preserve">logic (154) is fail-safe: ignition is </w:t>
      </w:r>
      <w:r>
        <w:rPr>
          <w:b/>
        </w:rPr>
        <w:t>blocked by default</w:t>
      </w:r>
      <w:r>
        <w:t xml:space="preserve"> and is enabled only while all</w:t>
      </w:r>
    </w:p>
    <w:p>
      <w:r>
        <w:t>permissive conditions hold.</w:t>
      </w:r>
    </w:p>
    <w:p>
      <w:pPr>
        <w:pStyle w:val="Heading2"/>
      </w:pPr>
      <w:r>
        <w:t>2. AI framework / signal-processing pipeline (FIG. 3)</w:t>
      </w:r>
    </w:p>
    <w:p>
      <w:r>
        <w:t>In operation, raw signals from the sensors (112, 114, 116) are preprocessed and segmented</w:t>
      </w:r>
    </w:p>
    <w:p>
      <w:r>
        <w:t>into fixed-length temporal windows of ten time steps (122), forming a feature tensor (124)</w:t>
      </w:r>
    </w:p>
    <w:p>
      <w:r>
        <w:t>of shape [10 time steps × 6 features]. The six features comprise a PPG value, a PPG signal</w:t>
      </w:r>
    </w:p>
    <w:p>
      <w:r>
        <w:t>quality measure, an electrodermal-activity value, a skin temperature, an ambient</w:t>
      </w:r>
    </w:p>
    <w:p>
      <w:r>
        <w:t>temperature, and a humidity value. The feature tensor (124) is supplied to a trained</w:t>
      </w:r>
    </w:p>
    <w:p>
      <w:r>
        <w:t>neural network (126, 128, 130) that produces a raw BAC estimate.</w:t>
      </w:r>
    </w:p>
    <w:p>
      <w:r>
        <w:t>The raw BAC estimate is then adjusted by a climate-adaptive calibration stage (132). The</w:t>
      </w:r>
    </w:p>
    <w:p>
      <w:r>
        <w:t xml:space="preserve">calibration (132) is a </w:t>
      </w:r>
      <w:r>
        <w:rPr>
          <w:b/>
        </w:rPr>
        <w:t>deterministic post-inference correction</w:t>
      </w:r>
      <w:r>
        <w:t xml:space="preserve"> applied to the model</w:t>
      </w:r>
    </w:p>
    <w:p>
      <w:r>
        <w:t xml:space="preserve">output using region-specific temperature and humidity coefficients; it is </w:t>
      </w:r>
      <w:r>
        <w:rPr>
          <w:b/>
        </w:rPr>
        <w:t>not</w:t>
      </w:r>
      <w:r>
        <w:t xml:space="preserve"> a layer</w:t>
      </w:r>
    </w:p>
    <w:p>
      <w:r>
        <w:t>of the trained neural network. The resulting calibrated BAC is compared by the decision</w:t>
      </w:r>
    </w:p>
    <w:p>
      <w:r>
        <w:t>logic (154) against a legal threshold of 0.08 g/dL; the allow/block determination, with a</w:t>
      </w:r>
    </w:p>
    <w:p>
      <w:r>
        <w:t>confidence value, is transmitted over the secure link (140) to control the ignition (160).</w:t>
      </w:r>
    </w:p>
    <w:p>
      <w:pPr>
        <w:pStyle w:val="Heading2"/>
      </w:pPr>
      <w:r>
        <w:t>3. Neural-network model architecture (FIG. 4)</w:t>
      </w:r>
    </w:p>
    <w:p>
      <w:r>
        <w:t>The trained model receives the feature tensor (124) of shape [B, 10, 6] and processes it</w:t>
      </w:r>
    </w:p>
    <w:p>
      <w:r>
        <w:t>through a bidirectional long short-term memory (BiLSTM) stage (126) of 64 units, producing</w:t>
      </w:r>
    </w:p>
    <w:p>
      <w:r>
        <w:t>a temporally-encoded representation of shape [B, 10, 128], followed by a dropout stage</w:t>
      </w:r>
    </w:p>
    <w:p>
      <w:r>
        <w:t>(rate 0.3).</w:t>
      </w:r>
    </w:p>
    <w:p>
      <w:r>
        <w:t>A temporal attention mechanism (128) operates on the encoded sequence: a dense projection</w:t>
      </w:r>
    </w:p>
    <w:p>
      <w:r>
        <w:t>with a hyperbolic-tangent activation computes per-time-step scores, a softmax produces</w:t>
      </w:r>
    </w:p>
    <w:p>
      <w:r>
        <w:t>attention weights over the ten time steps, and a weighted sum across time produces a</w:t>
      </w:r>
    </w:p>
    <w:p>
      <w:r>
        <w:t>128-dimensional attention context vector. The context vector is passed through a dense</w:t>
      </w:r>
    </w:p>
    <w:p>
      <w:r>
        <w:t>regression head (130) — a 32-unit rectified-linear layer, a dropout stage (rate 0.3), a</w:t>
      </w:r>
    </w:p>
    <w:p>
      <w:r>
        <w:t>16-unit rectified-linear layer, and a final single-unit linear layer — that outputs the</w:t>
      </w:r>
    </w:p>
    <w:p>
      <w:r>
        <w:t>BAC estimate in g/dL.</w:t>
      </w:r>
    </w:p>
    <w:p>
      <w:r>
        <w:rPr>
          <w:b/>
        </w:rPr>
        <w:t>Safety-prioritized training.</w:t>
      </w:r>
      <w:r>
        <w:t xml:space="preserve"> The model is trained with an asymmetric loss function in</w:t>
      </w:r>
    </w:p>
    <w:p>
      <w:r>
        <w:t>which false-negative errors (predicting a sober reading when the true BAC is above the</w:t>
      </w:r>
    </w:p>
    <w:p>
      <w:r>
        <w:t xml:space="preserve">threshold) are penalized </w:t>
      </w:r>
      <w:r>
        <w:rPr>
          <w:b/>
        </w:rPr>
        <w:t>30×</w:t>
      </w:r>
      <w:r>
        <w:t xml:space="preserve"> more heavily than false-positive errors. This biases the</w:t>
      </w:r>
    </w:p>
    <w:p>
      <w:r>
        <w:t>system toward the safety-critical suppression of missed-intoxication events.</w:t>
      </w:r>
    </w:p>
    <w:p>
      <w:r>
        <w:rPr>
          <w:b/>
        </w:rPr>
        <w:t>On-device deployment.</w:t>
      </w:r>
      <w:r>
        <w:t xml:space="preserve"> The trained model is quantized and deployed on the smartwatch as</w:t>
      </w:r>
    </w:p>
    <w:p>
      <w:r>
        <w:t>a TensorFlow Lite model executed by the on-device inference engine (118). Because the</w:t>
      </w:r>
    </w:p>
    <w:p>
      <w:r>
        <w:t>network contains LSTM operations, the converted model retains the requisite TensorFlow</w:t>
      </w:r>
    </w:p>
    <w:p>
      <w:r>
        <w:t>Lite operator set (SELECT_TF_OPS) for on-device execution.</w:t>
      </w:r>
    </w:p>
    <w:p>
      <w:pPr>
        <w:pStyle w:val="Heading2"/>
      </w:pPr>
      <w:r>
        <w:t>4. System operation and verification sequence (FIG. 2)</w:t>
      </w:r>
    </w:p>
    <w:p>
      <w:r>
        <w:t>The smartwatch (110) continuously supplies sensor data to the AI/BAC module (120), which</w:t>
      </w:r>
    </w:p>
    <w:p>
      <w:r>
        <w:t>estimates BAC and compares it to the 0.08 g/dL threshold and transmits a BAC status packet</w:t>
      </w:r>
    </w:p>
    <w:p>
      <w:r>
        <w:t>over the secure link (140) at a regular interval. The vehicle module (150) blocks ignition</w:t>
      </w:r>
    </w:p>
    <w:p>
      <w:r>
        <w:t>by default; upon an override attempt it requests verification, prompting a fresh</w:t>
      </w:r>
    </w:p>
    <w:p>
      <w:r>
        <w:t>sensor-data recheck, and otherwise maintains the ignition block.</w:t>
      </w:r>
    </w:p>
    <w:p>
      <w:pPr>
        <w:pStyle w:val="Heading2"/>
      </w:pPr>
      <w:r>
        <w:t>5. Fail-safe vehicle-control state machine (FIG. 5)</w:t>
      </w:r>
    </w:p>
    <w:p>
      <w:r>
        <w:t>The decision logic (154) implements a fail-safe state machine. The initial/default state</w:t>
      </w:r>
    </w:p>
    <w:p>
      <w:r>
        <w:t>upon power-on is IGNITION_BLOCKED. Ignition is enabled (IGNITION_ALLOWED) only while the</w:t>
      </w:r>
    </w:p>
    <w:p>
      <w:r>
        <w:t>link is active, a recent BAC update has been received, the estimated BAC is below 0.08</w:t>
      </w:r>
    </w:p>
    <w:p>
      <w:r>
        <w:t>g/dL, and the watch is worn. Loss of communication beyond a timeout transitions to</w:t>
      </w:r>
    </w:p>
    <w:p>
      <w:r>
        <w:t>CONNECTION_LOST and re-blocks; removal of the watch or stale data re-blocks. A manual</w:t>
      </w:r>
    </w:p>
    <w:p>
      <w:r>
        <w:t>override (180), engaged by a sustained button hold, transitions to a time-limited, logged</w:t>
      </w:r>
    </w:p>
    <w:p>
      <w:r>
        <w:t>OVERRIDE_ACTIVE state that automatically reverts to IGNITION_BLOCKED.</w:t>
      </w:r>
    </w:p>
    <w:p>
      <w:pPr>
        <w:pStyle w:val="Heading2"/>
      </w:pPr>
      <w:r>
        <w:t>Notes for the patent agent (accuracy)</w:t>
      </w:r>
    </w:p>
    <w:p>
      <w:pPr>
        <w:pStyle w:val="ListBullet"/>
      </w:pPr>
      <w:r>
        <w:t xml:space="preserve">The electrodermal-activity channel (114) is </w:t>
      </w:r>
      <w:r>
        <w:rPr>
          <w:b/>
        </w:rPr>
        <w:t>derived/estimated</w:t>
      </w:r>
      <w:r>
        <w:t xml:space="preserve"> from heart-rate</w:t>
      </w:r>
    </w:p>
    <w:p>
      <w:r>
        <w:t xml:space="preserve">  variability in the present embodiment (most consumer smartwatches lack a dedicated EDA</w:t>
      </w:r>
    </w:p>
    <w:p>
      <w:r>
        <w:t xml:space="preserve">  sensor); it is not represented as a directly-sensed EDA measurement.</w:t>
      </w:r>
    </w:p>
    <w:p>
      <w:pPr>
        <w:pStyle w:val="ListBullet"/>
      </w:pPr>
      <w:r>
        <w:t xml:space="preserve">BAC is </w:t>
      </w:r>
      <w:r>
        <w:rPr>
          <w:b/>
        </w:rPr>
        <w:t>inferred from physiological proxies</w:t>
      </w:r>
      <w:r>
        <w:t xml:space="preserve"> by the trained model; the present</w:t>
      </w:r>
    </w:p>
    <w:p>
      <w:r>
        <w:t xml:space="preserve">  embodiment does not use a transdermal alcohol sensor.</w:t>
      </w:r>
    </w:p>
    <w:p>
      <w:pPr>
        <w:pStyle w:val="ListBullet"/>
      </w:pPr>
      <w:r>
        <w:t xml:space="preserve">The model is trained on </w:t>
      </w:r>
      <w:r>
        <w:rPr>
          <w:b/>
        </w:rPr>
        <w:t>physiologically-modeled synthetic data</w:t>
      </w:r>
      <w:r>
        <w:t xml:space="preserve"> in the present</w:t>
      </w:r>
    </w:p>
    <w:p>
      <w:r>
        <w:t xml:space="preserve">  embodiment.</w:t>
      </w:r>
    </w:p>
    <w:p>
      <w:pPr>
        <w:pStyle w:val="ListBullet"/>
      </w:pPr>
      <w:r>
        <w:t>The 0.08 g/dL threshold is a fixed legal threshold in the present embodiment.</w:t>
      </w:r>
    </w:p>
    <w:p>
      <w:pPr>
        <w:pStyle w:val="ListBullet"/>
      </w:pPr>
      <w:r>
        <w:t>The secure link (140) uses AES-256 per spec; its implementation status is addressed in</w:t>
      </w:r>
    </w:p>
    <w:p>
      <w:r>
        <w:t xml:space="preserve">  </w:t>
      </w:r>
      <w:r>
        <w:rPr>
          <w:rFonts w:ascii="Consolas" w:hAnsi="Consolas"/>
        </w:rPr>
        <w:t>provisional_reconciliation.md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