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Provisional vs As-Built Reconciliation — ACN1408</w:t>
      </w:r>
    </w:p>
    <w:p>
      <w:pPr>
        <w:pStyle w:val="Heading1"/>
      </w:pPr>
      <w:r>
        <w:t>Provisional ↔ As-Built Reconciliation — ACN1408</w:t>
      </w:r>
    </w:p>
    <w:p>
      <w:r>
        <w:rPr>
          <w:b/>
        </w:rPr>
        <w:t>For the patent agent.</w:t>
      </w:r>
      <w:r>
        <w:t xml:space="preserve"> This note lists points where the </w:t>
      </w:r>
      <w:r>
        <w:rPr>
          <w:b/>
        </w:rPr>
        <w:t>as-built embodiment</w:t>
      </w:r>
      <w:r>
        <w:t xml:space="preserve"> (the</w:t>
      </w:r>
    </w:p>
    <w:p>
      <w:r>
        <w:t xml:space="preserve">AlcoWatch code: </w:t>
      </w:r>
      <w:r>
        <w:rPr>
          <w:rFonts w:ascii="Consolas" w:hAnsi="Consolas"/>
        </w:rPr>
        <w:t>ml_model/</w:t>
      </w:r>
      <w:r>
        <w:t xml:space="preserve">, </w:t>
      </w:r>
      <w:r>
        <w:rPr>
          <w:rFonts w:ascii="Consolas" w:hAnsi="Consolas"/>
        </w:rPr>
        <w:t>wear_os_app/</w:t>
      </w:r>
      <w:r>
        <w:t xml:space="preserve">, </w:t>
      </w:r>
      <w:r>
        <w:rPr>
          <w:rFonts w:ascii="Consolas" w:hAnsi="Consolas"/>
        </w:rPr>
        <w:t>arduino/</w:t>
      </w:r>
      <w:r>
        <w:t xml:space="preserve">, and </w:t>
      </w:r>
      <w:r>
        <w:rPr>
          <w:rFonts w:ascii="Consolas" w:hAnsi="Consolas"/>
        </w:rPr>
        <w:t>CLAUDE.md</w:t>
      </w:r>
      <w:r>
        <w:t>) differs from, or</w:t>
      </w:r>
    </w:p>
    <w:p>
      <w:r>
        <w:t xml:space="preserve">is narrower than, statements in the </w:t>
      </w:r>
      <w:r>
        <w:rPr>
          <w:b/>
        </w:rPr>
        <w:t>provisional specification</w:t>
      </w:r>
      <w:r>
        <w:t xml:space="preserve"> (</w:t>
      </w:r>
      <w:r>
        <w:rPr>
          <w:rFonts w:ascii="Consolas" w:hAnsi="Consolas"/>
        </w:rPr>
        <w:t>ACN1408 Prov._Patent_130625</w:t>
      </w:r>
      <w:r>
        <w:t>).</w:t>
      </w:r>
    </w:p>
    <w:p>
      <w:r>
        <w:t>A Complete Specification that mirrors the code may otherwise internally contradict its own</w:t>
      </w:r>
    </w:p>
    <w:p>
      <w:r>
        <w:t>provisional or claim subject matter the embodiment does not support — an enablement /</w:t>
      </w:r>
    </w:p>
    <w:p>
      <w:r>
        <w:t>best-mode risk an examiner or opponent can exploit. For each item, decide whether to (a)</w:t>
      </w:r>
    </w:p>
    <w:p>
      <w:r>
        <w:t xml:space="preserve">keep the code-faithful framing used in </w:t>
      </w:r>
      <w:r>
        <w:rPr>
          <w:rFonts w:ascii="Consolas" w:hAnsi="Consolas"/>
        </w:rPr>
        <w:t>disclosure_ai_section.md</w:t>
      </w:r>
      <w:r>
        <w:t>, or (b) amend the</w:t>
      </w:r>
    </w:p>
    <w:p>
      <w:r>
        <w:t xml:space="preserve">provisional/claim language. </w:t>
      </w:r>
      <w:r>
        <w:rPr>
          <w:b/>
        </w:rPr>
        <w:t>This package does not resolve these — it surfaces them.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Provisional says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As-built embodiment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Recommended framing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 xml:space="preserve">A smartwatch with an </w:t>
            </w:r>
            <w:r>
              <w:rPr>
                <w:b/>
              </w:rPr>
              <w:t>EDA sensor</w:t>
            </w:r>
            <w:r>
              <w:t xml:space="preserve"> "for quantifying sympathetic nervous system responses"</w:t>
            </w:r>
          </w:p>
        </w:tc>
        <w:tc>
          <w:tcPr>
            <w:tcW w:type="dxa" w:w="2160"/>
          </w:tcPr>
          <w:p>
            <w:r/>
            <w:r>
              <w:t xml:space="preserve">No dedicated EDA sensor; EDA is </w:t>
            </w:r>
            <w:r>
              <w:rPr>
                <w:b/>
              </w:rPr>
              <w:t>estimated/derived from heart-rate variability</w:t>
            </w:r>
            <w:r>
              <w:t xml:space="preserve"> (most Wear OS devices lack EDA hardware)</w:t>
            </w:r>
          </w:p>
        </w:tc>
        <w:tc>
          <w:tcPr>
            <w:tcW w:type="dxa" w:w="2160"/>
          </w:tcPr>
          <w:p>
            <w:r/>
            <w:r>
              <w:t xml:space="preserve">Describe EDA (114) as </w:t>
            </w:r>
            <w:r>
              <w:rPr>
                <w:i/>
              </w:rPr>
              <w:t>estimated/derived</w:t>
            </w:r>
            <w:r>
              <w:t>; if claims require a literal EDA sensor, narrow or mark as an optional alternative embodiment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 xml:space="preserve">AI infers </w:t>
            </w:r>
            <w:r>
              <w:rPr>
                <w:b/>
              </w:rPr>
              <w:t>"transdermal alcohol concentrations"</w:t>
            </w:r>
            <w:r>
              <w:t xml:space="preserve"> which are converted to BAC</w:t>
            </w:r>
          </w:p>
        </w:tc>
        <w:tc>
          <w:tcPr>
            <w:tcW w:type="dxa" w:w="2160"/>
          </w:tcPr>
          <w:p>
            <w:r/>
            <w:r>
              <w:t xml:space="preserve">No transdermal alcohol sensor; BAC is </w:t>
            </w:r>
            <w:r>
              <w:rPr>
                <w:b/>
              </w:rPr>
              <w:t>regressed from physiological proxies</w:t>
            </w:r>
            <w:r>
              <w:t xml:space="preserve"> (PPG/EDA/temperature) by the model</w:t>
            </w:r>
          </w:p>
        </w:tc>
        <w:tc>
          <w:tcPr>
            <w:tcW w:type="dxa" w:w="2160"/>
          </w:tcPr>
          <w:p>
            <w:r/>
            <w:r>
              <w:t xml:space="preserve">Describe BAC as </w:t>
            </w:r>
            <w:r>
              <w:rPr>
                <w:i/>
              </w:rPr>
              <w:t>inferred from physiological proxies</w:t>
            </w:r>
            <w:r>
              <w:t>; avoid asserting transdermal sensing as implemented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Models "</w:t>
            </w:r>
            <w:r>
              <w:rPr>
                <w:b/>
              </w:rPr>
              <w:t>trained on large-scale physiological datasets</w:t>
            </w:r>
            <w:r>
              <w:t>"</w:t>
            </w:r>
          </w:p>
        </w:tc>
        <w:tc>
          <w:tcPr>
            <w:tcW w:type="dxa" w:w="2160"/>
          </w:tcPr>
          <w:p>
            <w:r/>
            <w:r>
              <w:t xml:space="preserve">Trained on </w:t>
            </w:r>
            <w:r>
              <w:rPr>
                <w:b/>
              </w:rPr>
              <w:t>physiologically-modeled synthetic data</w:t>
            </w:r>
            <w:r>
              <w:t xml:space="preserve"> in the present embodiment</w:t>
            </w:r>
          </w:p>
        </w:tc>
        <w:tc>
          <w:tcPr>
            <w:tcW w:type="dxa" w:w="2160"/>
          </w:tcPr>
          <w:p>
            <w:r/>
            <w:r>
              <w:t>State the synthetic-data basis honestly (best mode); large-scale real datasets may be claimed as a further embodiment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AI that "</w:t>
            </w:r>
            <w:r>
              <w:rPr>
                <w:b/>
              </w:rPr>
              <w:t>dynamically adjusts / personalizes BAC thresholds</w:t>
            </w:r>
            <w:r>
              <w:t xml:space="preserve"> to individual baselines"</w:t>
            </w:r>
          </w:p>
        </w:tc>
        <w:tc>
          <w:tcPr>
            <w:tcW w:type="dxa" w:w="2160"/>
          </w:tcPr>
          <w:p>
            <w:r/>
            <w:r>
              <w:t xml:space="preserve">Fixed legal threshold of </w:t>
            </w:r>
            <w:r>
              <w:rPr>
                <w:b/>
              </w:rPr>
              <w:t>0.08 g/dL</w:t>
            </w:r>
            <w:r>
              <w:t>; region (not individual) calibration coefficients</w:t>
            </w:r>
          </w:p>
        </w:tc>
        <w:tc>
          <w:tcPr>
            <w:tcW w:type="dxa" w:w="2160"/>
          </w:tcPr>
          <w:p>
            <w:r/>
            <w:r>
              <w:t>Either disclose the fixed-threshold embodiment, or keep dynamic/personalized thresholds as a claimed alternative not asserted as built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 xml:space="preserve">Provisional Figure 1 (and AI module) depicts </w:t>
            </w:r>
            <w:r>
              <w:rPr>
                <w:b/>
              </w:rPr>
              <w:t>"Security and Biometric Authentication"</w:t>
            </w:r>
          </w:p>
        </w:tc>
        <w:tc>
          <w:tcPr>
            <w:tcW w:type="dxa" w:w="2160"/>
          </w:tcPr>
          <w:p>
            <w:r/>
            <w:r>
              <w:t>No biometric-authentication function in the model/code</w:t>
            </w:r>
          </w:p>
        </w:tc>
        <w:tc>
          <w:tcPr>
            <w:tcW w:type="dxa" w:w="2160"/>
          </w:tcPr>
          <w:p>
            <w:r/>
            <w:r>
              <w:t>Omit biometric authentication from the redrawn Figure 1 (done) unless it is added to the embodiment; do not claim it as implemented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t xml:space="preserve">Communication uses </w:t>
            </w:r>
            <w:r>
              <w:rPr>
                <w:b/>
              </w:rPr>
              <w:t>AES-256 encryption</w:t>
            </w:r>
          </w:p>
        </w:tc>
        <w:tc>
          <w:tcPr>
            <w:tcW w:type="dxa" w:w="2160"/>
          </w:tcPr>
          <w:p>
            <w:r/>
            <w:r>
              <w:t xml:space="preserve">AES-256 is </w:t>
            </w:r>
            <w:r>
              <w:rPr>
                <w:b/>
              </w:rPr>
              <w:t>specified</w:t>
            </w:r>
            <w:r>
              <w:t xml:space="preserve"> but the current implementation uses basic BLE pairing</w:t>
            </w:r>
          </w:p>
        </w:tc>
        <w:tc>
          <w:tcPr>
            <w:tcW w:type="dxa" w:w="2160"/>
          </w:tcPr>
          <w:p>
            <w:r/>
            <w:r>
              <w:t>Label the link (140) "secure ... AES-256 per spec" (done); disclose AES-256 as the specified/target security, not as the as-shipped implementation</w:t>
            </w:r>
          </w:p>
        </w:tc>
      </w:tr>
    </w:tbl>
    <w:p/>
    <w:p>
      <w:pPr>
        <w:pStyle w:val="Heading2"/>
      </w:pPr>
      <w:r>
        <w:t>Items confirmed consistent (no action)</w:t>
      </w:r>
    </w:p>
    <w:p>
      <w:pPr>
        <w:pStyle w:val="ListBullet"/>
      </w:pPr>
      <w:r>
        <w:rPr>
          <w:b/>
        </w:rPr>
        <w:t>Model architecture</w:t>
      </w:r>
      <w:r>
        <w:t xml:space="preserve"> (FIG. 4) matches the code exactly: BiLSTM(64) → [B,10,128],</w:t>
      </w:r>
    </w:p>
    <w:p>
      <w:r>
        <w:t xml:space="preserve">  Dropout(0.3), temporal attention (Dense-tanh → softmax → weighted sum), Dense 32/16/1.</w:t>
      </w:r>
    </w:p>
    <w:p>
      <w:pPr>
        <w:pStyle w:val="ListBullet"/>
      </w:pPr>
      <w:r>
        <w:rPr>
          <w:b/>
        </w:rPr>
        <w:t>Asymmetric loss</w:t>
      </w:r>
      <w:r>
        <w:t xml:space="preserve"> penalizing false negatives </w:t>
      </w:r>
      <w:r>
        <w:rPr>
          <w:b/>
        </w:rPr>
        <w:t>30×</w:t>
      </w:r>
      <w:r>
        <w:t xml:space="preserve"> (code: </w:t>
      </w:r>
      <w:r>
        <w:rPr>
          <w:rFonts w:ascii="Consolas" w:hAnsi="Consolas"/>
        </w:rPr>
        <w:t>* 30.0</w:t>
      </w:r>
      <w:r>
        <w:t>).</w:t>
      </w:r>
    </w:p>
    <w:p>
      <w:pPr>
        <w:pStyle w:val="ListBullet"/>
      </w:pPr>
      <w:r>
        <w:rPr>
          <w:b/>
        </w:rPr>
        <w:t>Climate-adaptive calibration</w:t>
      </w:r>
      <w:r>
        <w:t xml:space="preserve"> is a real post-inference correction (code:</w:t>
      </w:r>
    </w:p>
    <w:p>
      <w:r>
        <w:t xml:space="preserve">  </w:t>
      </w:r>
      <w:r>
        <w:rPr>
          <w:rFonts w:ascii="Consolas" w:hAnsi="Consolas"/>
        </w:rPr>
        <w:t>ClimateAdaptiveModel.calibrate_prediction</w:t>
      </w:r>
      <w:r>
        <w:t xml:space="preserve">; on-device </w:t>
      </w:r>
      <w:r>
        <w:rPr>
          <w:rFonts w:ascii="Consolas" w:hAnsi="Consolas"/>
        </w:rPr>
        <w:t>applyClimateCalibration</w:t>
      </w:r>
      <w:r>
        <w:t>).</w:t>
      </w:r>
    </w:p>
    <w:p>
      <w:pPr>
        <w:pStyle w:val="ListBullet"/>
      </w:pPr>
      <w:r>
        <w:rPr>
          <w:b/>
        </w:rPr>
        <w:t>Fail-safe default-BLOCK</w:t>
      </w:r>
      <w:r>
        <w:t xml:space="preserve"> ignition logic (FIG. 5) matches the firmware state machine.</w:t>
      </w:r>
    </w:p>
    <w:p>
      <w:pPr>
        <w:pStyle w:val="ListBullet"/>
      </w:pPr>
      <w:r>
        <w:rPr>
          <w:b/>
        </w:rPr>
        <w:t>0.08 g/dL</w:t>
      </w:r>
      <w:r>
        <w:t xml:space="preserve"> legal threshold matches the hardcoded </w:t>
      </w:r>
      <w:r>
        <w:rPr>
          <w:rFonts w:ascii="Consolas" w:hAnsi="Consolas"/>
        </w:rPr>
        <w:t>LEGAL_BAC_LIMIT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