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3A8F" w14:textId="508A3F16" w:rsidR="0057158E" w:rsidRPr="0057158E" w:rsidRDefault="009920E7" w:rsidP="0057158E">
      <w:pPr>
        <w:spacing w:before="1600"/>
        <w:rPr>
          <w:rFonts w:ascii="Times New Roman" w:hAnsi="Times New Roman" w:cs="Times New Roman"/>
          <w:b/>
          <w:color w:val="1F3864" w:themeColor="accent1" w:themeShade="8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58E">
        <w:rPr>
          <w:rFonts w:ascii="Times New Roman" w:hAnsi="Times New Roman" w:cs="Times New Roman"/>
          <w:b/>
          <w:color w:val="1F3864" w:themeColor="accent1" w:themeShade="8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 Engagement &amp; Product</w:t>
      </w:r>
      <w:r w:rsidR="0057158E" w:rsidRPr="0057158E">
        <w:rPr>
          <w:rFonts w:ascii="Times New Roman" w:hAnsi="Times New Roman" w:cs="Times New Roman"/>
          <w:b/>
          <w:color w:val="1F3864" w:themeColor="accent1" w:themeShade="8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158E">
        <w:rPr>
          <w:rFonts w:ascii="Times New Roman" w:hAnsi="Times New Roman" w:cs="Times New Roman"/>
          <w:b/>
          <w:color w:val="1F3864" w:themeColor="accent1" w:themeShade="8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Utilization Analytics</w:t>
      </w:r>
      <w:r w:rsidR="0057158E" w:rsidRPr="0057158E">
        <w:rPr>
          <w:rFonts w:ascii="Times New Roman" w:hAnsi="Times New Roman" w:cs="Times New Roman"/>
          <w:b/>
          <w:color w:val="1F3864" w:themeColor="accent1" w:themeShade="80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158E">
        <w:rPr>
          <w:rFonts w:ascii="Times New Roman" w:hAnsi="Times New Roman" w:cs="Times New Roman"/>
          <w:b/>
          <w:color w:val="1F3864" w:themeColor="accent1" w:themeShade="8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 Retention Strategy</w:t>
      </w:r>
    </w:p>
    <w:p w14:paraId="2C9BE0BB" w14:textId="22EA2CD0" w:rsidR="009920E7" w:rsidRPr="00F221B9" w:rsidRDefault="0057158E" w:rsidP="009920E7">
      <w:pPr>
        <w:spacing w:before="300" w:after="1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21B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9920E7" w:rsidRPr="00F221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</w:t>
      </w:r>
      <w:r w:rsidR="00E84BF8" w:rsidRPr="00F221B9">
        <w:rPr>
          <w:rFonts w:ascii="Times New Roman" w:hAnsi="Times New Roman" w:cs="Times New Roman"/>
          <w:color w:val="000000" w:themeColor="text1"/>
          <w:sz w:val="28"/>
          <w:szCs w:val="28"/>
        </w:rPr>
        <w:t>Behavioural</w:t>
      </w:r>
      <w:r w:rsidR="009920E7" w:rsidRPr="00F221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Relationship-Strength Approach to Bank Customer Churn</w:t>
      </w:r>
      <w:r w:rsidRPr="00F221B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245F6E6" w14:textId="77777777" w:rsidR="0057158E" w:rsidRPr="00F221B9" w:rsidRDefault="0057158E" w:rsidP="009920E7">
      <w:pPr>
        <w:spacing w:before="300" w:after="100"/>
        <w:jc w:val="center"/>
        <w:rPr>
          <w:i/>
          <w:iCs/>
          <w:color w:val="000000" w:themeColor="text1"/>
          <w:sz w:val="24"/>
          <w:szCs w:val="24"/>
        </w:rPr>
      </w:pPr>
    </w:p>
    <w:p w14:paraId="045592A3" w14:textId="77777777" w:rsidR="0057158E" w:rsidRDefault="0057158E" w:rsidP="009920E7">
      <w:pPr>
        <w:spacing w:before="300" w:after="100"/>
        <w:jc w:val="center"/>
        <w:rPr>
          <w:sz w:val="32"/>
          <w:szCs w:val="32"/>
        </w:rPr>
      </w:pPr>
    </w:p>
    <w:p w14:paraId="10B97726" w14:textId="77777777" w:rsidR="0085656F" w:rsidRDefault="0085656F" w:rsidP="009920E7">
      <w:pPr>
        <w:spacing w:before="300" w:after="100"/>
        <w:jc w:val="center"/>
        <w:rPr>
          <w:sz w:val="32"/>
          <w:szCs w:val="32"/>
        </w:rPr>
      </w:pPr>
    </w:p>
    <w:p w14:paraId="01A58E32" w14:textId="77777777" w:rsidR="0085656F" w:rsidRPr="008B088A" w:rsidRDefault="0085656F" w:rsidP="009920E7">
      <w:pPr>
        <w:spacing w:before="300" w:after="100"/>
        <w:jc w:val="center"/>
        <w:rPr>
          <w:sz w:val="32"/>
          <w:szCs w:val="32"/>
        </w:rPr>
      </w:pPr>
    </w:p>
    <w:p w14:paraId="78E676FC" w14:textId="77777777" w:rsidR="00DF7995" w:rsidRDefault="0057158E" w:rsidP="00DF7995">
      <w:pPr>
        <w:rPr>
          <w:rFonts w:ascii="Times New Roman" w:hAnsi="Times New Roman" w:cs="Times New Roman"/>
          <w:color w:val="1F3864" w:themeColor="accent1" w:themeShade="80"/>
          <w:sz w:val="44"/>
          <w:szCs w:val="44"/>
          <w:u w:val="single"/>
        </w:rPr>
      </w:pPr>
      <w:r w:rsidRPr="0085656F">
        <w:rPr>
          <w:sz w:val="44"/>
          <w:szCs w:val="44"/>
        </w:rPr>
        <w:t xml:space="preserve">       </w:t>
      </w:r>
      <w:r w:rsidR="009920E7" w:rsidRPr="00DF7995">
        <w:rPr>
          <w:rFonts w:ascii="Times New Roman" w:hAnsi="Times New Roman" w:cs="Times New Roman"/>
          <w:color w:val="1F3864" w:themeColor="accent1" w:themeShade="80"/>
          <w:sz w:val="48"/>
          <w:szCs w:val="48"/>
          <w:u w:val="single"/>
        </w:rPr>
        <w:t>Research Paper</w:t>
      </w:r>
    </w:p>
    <w:p w14:paraId="37B7B28D" w14:textId="5AB550B8" w:rsidR="005E1C0B" w:rsidRPr="002A6C4E" w:rsidRDefault="009920E7" w:rsidP="002A6C4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1F3864" w:themeColor="accent1" w:themeShade="80"/>
          <w:sz w:val="44"/>
          <w:szCs w:val="44"/>
          <w:u w:val="single"/>
        </w:rPr>
      </w:pPr>
      <w:r w:rsidRPr="002A6C4E">
        <w:rPr>
          <w:rFonts w:ascii="Times New Roman" w:hAnsi="Times New Roman" w:cs="Times New Roman"/>
          <w:b/>
          <w:bCs/>
          <w:sz w:val="32"/>
          <w:szCs w:val="32"/>
        </w:rPr>
        <w:t>Prepared for:</w:t>
      </w:r>
      <w:r w:rsidRPr="002A6C4E">
        <w:rPr>
          <w:rFonts w:ascii="Times New Roman" w:hAnsi="Times New Roman" w:cs="Times New Roman"/>
          <w:sz w:val="32"/>
          <w:szCs w:val="32"/>
        </w:rPr>
        <w:t xml:space="preserve"> Unified Mentor </w:t>
      </w:r>
    </w:p>
    <w:p w14:paraId="60B9C358" w14:textId="2DE6B35F" w:rsidR="005A30AD" w:rsidRPr="005E1C0B" w:rsidRDefault="005A30AD" w:rsidP="005E1C0B">
      <w:pPr>
        <w:pStyle w:val="ListParagraph"/>
        <w:numPr>
          <w:ilvl w:val="0"/>
          <w:numId w:val="20"/>
        </w:numPr>
        <w:spacing w:before="100"/>
        <w:jc w:val="both"/>
        <w:rPr>
          <w:rFonts w:ascii="Times New Roman" w:hAnsi="Times New Roman" w:cs="Times New Roman"/>
          <w:sz w:val="32"/>
          <w:szCs w:val="32"/>
        </w:rPr>
      </w:pPr>
      <w:r w:rsidRPr="00C63CF4">
        <w:rPr>
          <w:rFonts w:ascii="Times New Roman" w:hAnsi="Times New Roman" w:cs="Times New Roman"/>
          <w:b/>
          <w:bCs/>
          <w:sz w:val="32"/>
          <w:szCs w:val="32"/>
        </w:rPr>
        <w:t>Prepared by:</w:t>
      </w:r>
      <w:r w:rsidRPr="005E1C0B">
        <w:rPr>
          <w:rFonts w:ascii="Times New Roman" w:hAnsi="Times New Roman" w:cs="Times New Roman"/>
          <w:sz w:val="32"/>
          <w:szCs w:val="32"/>
        </w:rPr>
        <w:t xml:space="preserve"> Tisha</w:t>
      </w:r>
    </w:p>
    <w:p w14:paraId="0953F9AA" w14:textId="39B3E6CE" w:rsidR="009920E7" w:rsidRPr="005E1C0B" w:rsidRDefault="009920E7" w:rsidP="005E1C0B">
      <w:pPr>
        <w:pStyle w:val="ListParagraph"/>
        <w:numPr>
          <w:ilvl w:val="0"/>
          <w:numId w:val="20"/>
        </w:numPr>
        <w:spacing w:before="100"/>
        <w:jc w:val="both"/>
        <w:rPr>
          <w:rFonts w:ascii="Times New Roman" w:hAnsi="Times New Roman" w:cs="Times New Roman"/>
          <w:sz w:val="32"/>
          <w:szCs w:val="32"/>
        </w:rPr>
      </w:pPr>
      <w:r w:rsidRPr="00DF7995">
        <w:rPr>
          <w:rFonts w:ascii="Times New Roman" w:hAnsi="Times New Roman" w:cs="Times New Roman"/>
          <w:b/>
          <w:bCs/>
          <w:sz w:val="32"/>
          <w:szCs w:val="32"/>
        </w:rPr>
        <w:t>Dataset</w:t>
      </w:r>
      <w:r w:rsidR="00DF7995" w:rsidRPr="00DF7995">
        <w:rPr>
          <w:rFonts w:ascii="Times New Roman" w:hAnsi="Times New Roman" w:cs="Times New Roman"/>
          <w:b/>
          <w:bCs/>
          <w:sz w:val="32"/>
          <w:szCs w:val="32"/>
        </w:rPr>
        <w:t xml:space="preserve"> Used</w:t>
      </w:r>
      <w:r w:rsidRPr="00DF7995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E1C0B">
        <w:rPr>
          <w:rFonts w:ascii="Times New Roman" w:hAnsi="Times New Roman" w:cs="Times New Roman"/>
          <w:sz w:val="32"/>
          <w:szCs w:val="32"/>
        </w:rPr>
        <w:t xml:space="preserve"> European_Bank.csv — 10,000 customer records</w:t>
      </w:r>
    </w:p>
    <w:p w14:paraId="759DB0D7" w14:textId="3F93B7BE" w:rsidR="009920E7" w:rsidRPr="009828EB" w:rsidRDefault="009920E7" w:rsidP="005E1C0B">
      <w:pPr>
        <w:spacing w:before="100"/>
        <w:jc w:val="both"/>
        <w:rPr>
          <w:rFonts w:ascii="Times New Roman" w:hAnsi="Times New Roman" w:cs="Times New Roman"/>
          <w:sz w:val="32"/>
          <w:szCs w:val="32"/>
        </w:rPr>
      </w:pPr>
    </w:p>
    <w:p w14:paraId="3D963040" w14:textId="77777777" w:rsidR="009920E7" w:rsidRPr="008B088A" w:rsidRDefault="009920E7" w:rsidP="009920E7">
      <w:pPr>
        <w:rPr>
          <w:sz w:val="32"/>
          <w:szCs w:val="32"/>
        </w:rPr>
      </w:pPr>
      <w:r w:rsidRPr="008B088A">
        <w:rPr>
          <w:sz w:val="32"/>
          <w:szCs w:val="32"/>
        </w:rPr>
        <w:br w:type="page"/>
      </w:r>
    </w:p>
    <w:p w14:paraId="644C94F7" w14:textId="77777777" w:rsidR="00F244E9" w:rsidRDefault="00F244E9" w:rsidP="00796C43">
      <w:pPr>
        <w:tabs>
          <w:tab w:val="left" w:pos="5494"/>
        </w:tabs>
        <w:jc w:val="center"/>
        <w:rPr>
          <w:b/>
          <w:bCs/>
          <w:sz w:val="28"/>
          <w:szCs w:val="28"/>
          <w:u w:val="single"/>
        </w:rPr>
      </w:pPr>
    </w:p>
    <w:p w14:paraId="2FF7AD6F" w14:textId="1B4294A1" w:rsidR="00796C43" w:rsidRPr="006B2D97" w:rsidRDefault="00796C43" w:rsidP="00796C43">
      <w:pPr>
        <w:tabs>
          <w:tab w:val="left" w:pos="549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2D97">
        <w:rPr>
          <w:rFonts w:ascii="Times New Roman" w:hAnsi="Times New Roman" w:cs="Times New Roman"/>
          <w:b/>
          <w:bCs/>
          <w:sz w:val="28"/>
          <w:szCs w:val="28"/>
        </w:rPr>
        <w:t>CONTENTS</w:t>
      </w:r>
    </w:p>
    <w:p w14:paraId="4BC55B4F" w14:textId="77777777" w:rsidR="00796C43" w:rsidRPr="00542D23" w:rsidRDefault="00796C43" w:rsidP="00796C43">
      <w:pPr>
        <w:tabs>
          <w:tab w:val="left" w:pos="5494"/>
        </w:tabs>
        <w:jc w:val="center"/>
        <w:rPr>
          <w:b/>
          <w:bCs/>
          <w:sz w:val="28"/>
          <w:szCs w:val="28"/>
          <w:u w:val="single"/>
        </w:rPr>
      </w:pPr>
    </w:p>
    <w:p w14:paraId="6D4CB353" w14:textId="77777777" w:rsidR="00796C43" w:rsidRDefault="00796C43" w:rsidP="00796C43">
      <w:pPr>
        <w:tabs>
          <w:tab w:val="left" w:pos="5494"/>
        </w:tabs>
        <w:jc w:val="center"/>
        <w:rPr>
          <w:b/>
          <w:bCs/>
          <w:sz w:val="28"/>
          <w:szCs w:val="28"/>
        </w:rPr>
      </w:pPr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1199"/>
        <w:gridCol w:w="5421"/>
        <w:gridCol w:w="2957"/>
      </w:tblGrid>
      <w:tr w:rsidR="00796C43" w14:paraId="192A7D1C" w14:textId="77777777" w:rsidTr="000B2A11">
        <w:trPr>
          <w:trHeight w:val="405"/>
        </w:trPr>
        <w:tc>
          <w:tcPr>
            <w:tcW w:w="1199" w:type="dxa"/>
          </w:tcPr>
          <w:p w14:paraId="328857E3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SL NO</w:t>
            </w:r>
          </w:p>
        </w:tc>
        <w:tc>
          <w:tcPr>
            <w:tcW w:w="5421" w:type="dxa"/>
          </w:tcPr>
          <w:p w14:paraId="33A06620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CHAPTERS</w:t>
            </w:r>
          </w:p>
        </w:tc>
        <w:tc>
          <w:tcPr>
            <w:tcW w:w="2957" w:type="dxa"/>
          </w:tcPr>
          <w:p w14:paraId="2B7A981E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PAGE NUMBER</w:t>
            </w:r>
          </w:p>
        </w:tc>
      </w:tr>
      <w:tr w:rsidR="00796C43" w14:paraId="65C2F467" w14:textId="77777777" w:rsidTr="000B2A11">
        <w:trPr>
          <w:trHeight w:val="651"/>
        </w:trPr>
        <w:tc>
          <w:tcPr>
            <w:tcW w:w="1199" w:type="dxa"/>
          </w:tcPr>
          <w:p w14:paraId="0E0E5638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421" w:type="dxa"/>
          </w:tcPr>
          <w:p w14:paraId="0D89123D" w14:textId="75C8E011" w:rsidR="00796C43" w:rsidRPr="007D4D35" w:rsidRDefault="00796C43" w:rsidP="007D4D35">
            <w:pPr>
              <w:spacing w:after="160"/>
              <w:jc w:val="both"/>
              <w:rPr>
                <w:rFonts w:ascii="Cambria" w:hAnsi="Cambria"/>
                <w:b/>
                <w:bCs/>
                <w:szCs w:val="24"/>
              </w:rPr>
            </w:pPr>
            <w:r w:rsidRPr="006B2D97">
              <w:rPr>
                <w:rFonts w:ascii="Cambria" w:hAnsi="Cambria"/>
                <w:b/>
                <w:bCs/>
                <w:sz w:val="24"/>
                <w:szCs w:val="28"/>
              </w:rPr>
              <w:t>Abstract</w:t>
            </w:r>
          </w:p>
        </w:tc>
        <w:tc>
          <w:tcPr>
            <w:tcW w:w="2957" w:type="dxa"/>
          </w:tcPr>
          <w:p w14:paraId="5E8D660E" w14:textId="77777777" w:rsidR="00796C43" w:rsidRPr="00592E54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Cs w:val="24"/>
              </w:rPr>
            </w:pPr>
          </w:p>
          <w:p w14:paraId="71911441" w14:textId="1075871A" w:rsidR="00796C43" w:rsidRPr="00592E54" w:rsidRDefault="007D4D35" w:rsidP="001E3338">
            <w:pPr>
              <w:tabs>
                <w:tab w:val="left" w:pos="5494"/>
              </w:tabs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</w:t>
            </w:r>
          </w:p>
        </w:tc>
      </w:tr>
      <w:tr w:rsidR="00796C43" w14:paraId="13083E8C" w14:textId="77777777" w:rsidTr="000B2A11">
        <w:trPr>
          <w:trHeight w:val="1970"/>
        </w:trPr>
        <w:tc>
          <w:tcPr>
            <w:tcW w:w="1199" w:type="dxa"/>
          </w:tcPr>
          <w:p w14:paraId="0326F7C0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421" w:type="dxa"/>
          </w:tcPr>
          <w:p w14:paraId="08FB3C8C" w14:textId="0AC19568" w:rsidR="00796C43" w:rsidRPr="006B2D97" w:rsidRDefault="0051659B" w:rsidP="001E3338">
            <w:pPr>
              <w:spacing w:after="160"/>
              <w:jc w:val="both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6B2D97">
              <w:rPr>
                <w:rFonts w:ascii="Cambria" w:hAnsi="Cambria"/>
                <w:b/>
                <w:bCs/>
                <w:sz w:val="24"/>
                <w:szCs w:val="28"/>
              </w:rPr>
              <w:t>Background and context</w:t>
            </w:r>
          </w:p>
          <w:p w14:paraId="294E7864" w14:textId="17ADB889" w:rsidR="00796C43" w:rsidRPr="006B2D97" w:rsidRDefault="0051659B" w:rsidP="00796C43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rFonts w:ascii="Cambria" w:hAnsi="Cambria"/>
                <w:sz w:val="24"/>
                <w:szCs w:val="28"/>
              </w:rPr>
            </w:pPr>
            <w:r w:rsidRPr="006B2D97">
              <w:rPr>
                <w:rFonts w:ascii="Cambria" w:hAnsi="Cambria"/>
                <w:sz w:val="24"/>
                <w:szCs w:val="28"/>
              </w:rPr>
              <w:t>Problem statement</w:t>
            </w:r>
          </w:p>
          <w:p w14:paraId="426D6145" w14:textId="27B1758B" w:rsidR="00796C43" w:rsidRPr="006B2D97" w:rsidRDefault="0051659B" w:rsidP="00796C43">
            <w:pPr>
              <w:pStyle w:val="ListParagraph"/>
              <w:numPr>
                <w:ilvl w:val="0"/>
                <w:numId w:val="3"/>
              </w:numPr>
              <w:spacing w:after="160"/>
              <w:jc w:val="both"/>
              <w:rPr>
                <w:rFonts w:ascii="Cambria" w:hAnsi="Cambria"/>
                <w:sz w:val="24"/>
                <w:szCs w:val="28"/>
              </w:rPr>
            </w:pPr>
            <w:r w:rsidRPr="006B2D97">
              <w:rPr>
                <w:rFonts w:ascii="Cambria" w:hAnsi="Cambria"/>
                <w:sz w:val="24"/>
                <w:szCs w:val="28"/>
              </w:rPr>
              <w:t>Objectives</w:t>
            </w:r>
          </w:p>
          <w:p w14:paraId="04DA697C" w14:textId="77777777" w:rsidR="00796C43" w:rsidRPr="006B2D97" w:rsidRDefault="008952D4" w:rsidP="007A7889">
            <w:pPr>
              <w:pStyle w:val="ListParagraph"/>
              <w:numPr>
                <w:ilvl w:val="0"/>
                <w:numId w:val="6"/>
              </w:numPr>
              <w:spacing w:after="160"/>
              <w:jc w:val="both"/>
              <w:rPr>
                <w:rFonts w:ascii="Cambria" w:hAnsi="Cambria"/>
                <w:sz w:val="24"/>
                <w:szCs w:val="28"/>
              </w:rPr>
            </w:pPr>
            <w:r w:rsidRPr="006B2D97">
              <w:rPr>
                <w:rFonts w:ascii="Cambria" w:hAnsi="Cambria"/>
                <w:sz w:val="24"/>
                <w:szCs w:val="28"/>
              </w:rPr>
              <w:t xml:space="preserve">Primary </w:t>
            </w:r>
          </w:p>
          <w:p w14:paraId="5A850DB7" w14:textId="38176BCC" w:rsidR="007A7889" w:rsidRPr="00B17BC5" w:rsidRDefault="007A7889" w:rsidP="007A7889">
            <w:pPr>
              <w:pStyle w:val="ListParagraph"/>
              <w:numPr>
                <w:ilvl w:val="0"/>
                <w:numId w:val="6"/>
              </w:numPr>
              <w:spacing w:after="160"/>
              <w:jc w:val="both"/>
              <w:rPr>
                <w:rFonts w:ascii="Cambria" w:hAnsi="Cambria"/>
                <w:b/>
                <w:bCs/>
                <w:szCs w:val="24"/>
              </w:rPr>
            </w:pPr>
            <w:r w:rsidRPr="006B2D97">
              <w:rPr>
                <w:rFonts w:ascii="Cambria" w:hAnsi="Cambria"/>
                <w:sz w:val="24"/>
                <w:szCs w:val="28"/>
              </w:rPr>
              <w:t>Secondary</w:t>
            </w:r>
          </w:p>
        </w:tc>
        <w:tc>
          <w:tcPr>
            <w:tcW w:w="2957" w:type="dxa"/>
          </w:tcPr>
          <w:p w14:paraId="3D6BFBB9" w14:textId="77777777" w:rsidR="00796C43" w:rsidRPr="00592E54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Cs w:val="24"/>
              </w:rPr>
            </w:pPr>
          </w:p>
          <w:p w14:paraId="72A4C4AA" w14:textId="19FB8CEC" w:rsidR="00796C43" w:rsidRPr="00592E54" w:rsidRDefault="007D4D35" w:rsidP="001E3338">
            <w:pPr>
              <w:tabs>
                <w:tab w:val="left" w:pos="5494"/>
              </w:tabs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</w:t>
            </w:r>
          </w:p>
          <w:p w14:paraId="3619B381" w14:textId="77777777" w:rsidR="00796C43" w:rsidRPr="00592E54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Cs w:val="24"/>
              </w:rPr>
            </w:pPr>
          </w:p>
        </w:tc>
      </w:tr>
      <w:tr w:rsidR="00796C43" w14:paraId="4557190D" w14:textId="77777777" w:rsidTr="000B2A11">
        <w:trPr>
          <w:trHeight w:val="496"/>
        </w:trPr>
        <w:tc>
          <w:tcPr>
            <w:tcW w:w="1199" w:type="dxa"/>
          </w:tcPr>
          <w:p w14:paraId="3E543CCD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421" w:type="dxa"/>
          </w:tcPr>
          <w:p w14:paraId="7646D830" w14:textId="128D7762" w:rsidR="00796C43" w:rsidRPr="007A7889" w:rsidRDefault="007A7889" w:rsidP="007A7889">
            <w:pPr>
              <w:spacing w:after="160"/>
              <w:jc w:val="both"/>
              <w:rPr>
                <w:rFonts w:ascii="Cambria" w:hAnsi="Cambria"/>
                <w:b/>
                <w:bCs/>
                <w:szCs w:val="24"/>
              </w:rPr>
            </w:pPr>
            <w:r w:rsidRPr="006B2D97">
              <w:rPr>
                <w:rFonts w:ascii="Cambria" w:hAnsi="Cambria"/>
                <w:b/>
                <w:bCs/>
                <w:sz w:val="24"/>
                <w:szCs w:val="28"/>
              </w:rPr>
              <w:t>Dataset Descripti</w:t>
            </w:r>
            <w:r w:rsidR="009B1846" w:rsidRPr="006B2D97">
              <w:rPr>
                <w:rFonts w:ascii="Cambria" w:hAnsi="Cambria"/>
                <w:b/>
                <w:bCs/>
                <w:sz w:val="24"/>
                <w:szCs w:val="28"/>
              </w:rPr>
              <w:t>on</w:t>
            </w:r>
          </w:p>
        </w:tc>
        <w:tc>
          <w:tcPr>
            <w:tcW w:w="2957" w:type="dxa"/>
          </w:tcPr>
          <w:p w14:paraId="16E0B39C" w14:textId="26A0FA6C" w:rsidR="00796C43" w:rsidRPr="00592E54" w:rsidRDefault="007D4D35" w:rsidP="001E3338">
            <w:pPr>
              <w:tabs>
                <w:tab w:val="left" w:pos="5494"/>
              </w:tabs>
              <w:spacing w:before="36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</w:t>
            </w:r>
          </w:p>
        </w:tc>
      </w:tr>
      <w:tr w:rsidR="00796C43" w14:paraId="16863464" w14:textId="77777777" w:rsidTr="000B2A11">
        <w:trPr>
          <w:trHeight w:val="2723"/>
        </w:trPr>
        <w:tc>
          <w:tcPr>
            <w:tcW w:w="1199" w:type="dxa"/>
          </w:tcPr>
          <w:p w14:paraId="3968D619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421" w:type="dxa"/>
          </w:tcPr>
          <w:p w14:paraId="78AB4A51" w14:textId="77777777" w:rsidR="00796C43" w:rsidRPr="006B2D97" w:rsidRDefault="009B1846" w:rsidP="001E3338">
            <w:pPr>
              <w:tabs>
                <w:tab w:val="left" w:pos="5494"/>
              </w:tabs>
              <w:rPr>
                <w:b/>
                <w:bCs/>
                <w:sz w:val="24"/>
                <w:szCs w:val="24"/>
              </w:rPr>
            </w:pPr>
            <w:r w:rsidRPr="006B2D97">
              <w:rPr>
                <w:b/>
                <w:bCs/>
                <w:sz w:val="24"/>
                <w:szCs w:val="24"/>
              </w:rPr>
              <w:t>Analytical Meth</w:t>
            </w:r>
            <w:r w:rsidR="00AE5EA9" w:rsidRPr="006B2D97">
              <w:rPr>
                <w:b/>
                <w:bCs/>
                <w:sz w:val="24"/>
                <w:szCs w:val="24"/>
              </w:rPr>
              <w:t>odology</w:t>
            </w:r>
          </w:p>
          <w:p w14:paraId="4C795ED1" w14:textId="3F3C3CBA" w:rsidR="00AE5EA9" w:rsidRPr="006B2D97" w:rsidRDefault="005D1B7B" w:rsidP="00393E0A">
            <w:pPr>
              <w:pStyle w:val="ListParagraph"/>
              <w:numPr>
                <w:ilvl w:val="0"/>
                <w:numId w:val="8"/>
              </w:numPr>
              <w:tabs>
                <w:tab w:val="left" w:pos="5494"/>
              </w:tabs>
              <w:rPr>
                <w:sz w:val="24"/>
                <w:szCs w:val="24"/>
              </w:rPr>
            </w:pPr>
            <w:r w:rsidRPr="006B2D97">
              <w:rPr>
                <w:sz w:val="24"/>
                <w:szCs w:val="24"/>
              </w:rPr>
              <w:t>Data Ingestion &amp; Validation</w:t>
            </w:r>
          </w:p>
          <w:p w14:paraId="2A74B73C" w14:textId="1610F405" w:rsidR="008B6542" w:rsidRPr="006B2D97" w:rsidRDefault="008B6542" w:rsidP="00393E0A">
            <w:pPr>
              <w:pStyle w:val="ListParagraph"/>
              <w:numPr>
                <w:ilvl w:val="0"/>
                <w:numId w:val="8"/>
              </w:numPr>
              <w:tabs>
                <w:tab w:val="left" w:pos="5494"/>
              </w:tabs>
              <w:rPr>
                <w:sz w:val="24"/>
                <w:szCs w:val="24"/>
              </w:rPr>
            </w:pPr>
            <w:r w:rsidRPr="006B2D97">
              <w:rPr>
                <w:sz w:val="24"/>
                <w:szCs w:val="24"/>
              </w:rPr>
              <w:t>Engagement Classification</w:t>
            </w:r>
          </w:p>
          <w:p w14:paraId="2B515D32" w14:textId="3E32C8EC" w:rsidR="006E72DD" w:rsidRPr="006B2D97" w:rsidRDefault="006E72DD" w:rsidP="00393E0A">
            <w:pPr>
              <w:pStyle w:val="ListParagraph"/>
              <w:numPr>
                <w:ilvl w:val="0"/>
                <w:numId w:val="8"/>
              </w:numPr>
              <w:tabs>
                <w:tab w:val="left" w:pos="5494"/>
              </w:tabs>
              <w:rPr>
                <w:sz w:val="24"/>
                <w:szCs w:val="24"/>
              </w:rPr>
            </w:pPr>
            <w:r w:rsidRPr="006B2D97">
              <w:rPr>
                <w:sz w:val="24"/>
                <w:szCs w:val="24"/>
              </w:rPr>
              <w:t>Product Utilization Analysis</w:t>
            </w:r>
          </w:p>
          <w:p w14:paraId="2BD4248E" w14:textId="4156BCAC" w:rsidR="006E72DD" w:rsidRPr="006B2D97" w:rsidRDefault="006E72DD" w:rsidP="00393E0A">
            <w:pPr>
              <w:pStyle w:val="ListParagraph"/>
              <w:numPr>
                <w:ilvl w:val="0"/>
                <w:numId w:val="8"/>
              </w:numPr>
              <w:tabs>
                <w:tab w:val="left" w:pos="5494"/>
              </w:tabs>
              <w:rPr>
                <w:sz w:val="24"/>
                <w:szCs w:val="24"/>
              </w:rPr>
            </w:pPr>
            <w:r w:rsidRPr="006B2D97">
              <w:rPr>
                <w:sz w:val="24"/>
                <w:szCs w:val="24"/>
              </w:rPr>
              <w:t>Financial Commitment vs. Engagement Analysis</w:t>
            </w:r>
          </w:p>
          <w:p w14:paraId="1849281B" w14:textId="11BF8E82" w:rsidR="00503119" w:rsidRPr="006B2D97" w:rsidRDefault="00503119" w:rsidP="00393E0A">
            <w:pPr>
              <w:pStyle w:val="ListParagraph"/>
              <w:numPr>
                <w:ilvl w:val="0"/>
                <w:numId w:val="8"/>
              </w:numPr>
              <w:tabs>
                <w:tab w:val="left" w:pos="5494"/>
              </w:tabs>
              <w:rPr>
                <w:sz w:val="24"/>
                <w:szCs w:val="24"/>
              </w:rPr>
            </w:pPr>
            <w:r w:rsidRPr="006B2D97">
              <w:rPr>
                <w:sz w:val="24"/>
                <w:szCs w:val="24"/>
              </w:rPr>
              <w:t>Retention Strength Assessment</w:t>
            </w:r>
          </w:p>
          <w:p w14:paraId="05EA56C6" w14:textId="44064B06" w:rsidR="005D1B7B" w:rsidRPr="006B2D97" w:rsidRDefault="005D1B7B" w:rsidP="001E3338">
            <w:pPr>
              <w:tabs>
                <w:tab w:val="left" w:pos="5494"/>
              </w:tabs>
              <w:rPr>
                <w:b/>
                <w:bCs/>
                <w:sz w:val="24"/>
                <w:szCs w:val="24"/>
              </w:rPr>
            </w:pPr>
            <w:r w:rsidRPr="006B2D97">
              <w:rPr>
                <w:b/>
                <w:bCs/>
                <w:sz w:val="24"/>
                <w:szCs w:val="24"/>
              </w:rPr>
              <w:t xml:space="preserve">            </w:t>
            </w:r>
          </w:p>
        </w:tc>
        <w:tc>
          <w:tcPr>
            <w:tcW w:w="2957" w:type="dxa"/>
          </w:tcPr>
          <w:p w14:paraId="0A0FADAB" w14:textId="356A61C9" w:rsidR="00796C43" w:rsidRPr="00592E54" w:rsidRDefault="007D4D35" w:rsidP="001E3338">
            <w:pPr>
              <w:tabs>
                <w:tab w:val="left" w:pos="5494"/>
              </w:tabs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3</w:t>
            </w:r>
          </w:p>
        </w:tc>
      </w:tr>
      <w:tr w:rsidR="00796C43" w14:paraId="68C7C4FB" w14:textId="77777777" w:rsidTr="000B2A11">
        <w:trPr>
          <w:trHeight w:val="4230"/>
        </w:trPr>
        <w:tc>
          <w:tcPr>
            <w:tcW w:w="1199" w:type="dxa"/>
          </w:tcPr>
          <w:p w14:paraId="3594ADCE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5421" w:type="dxa"/>
          </w:tcPr>
          <w:p w14:paraId="0604DDAB" w14:textId="77777777" w:rsidR="00796C43" w:rsidRPr="006B2D97" w:rsidRDefault="00900CE0" w:rsidP="001E3338">
            <w:pPr>
              <w:tabs>
                <w:tab w:val="left" w:pos="5494"/>
              </w:tabs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6B2D97">
              <w:rPr>
                <w:rFonts w:ascii="Cambria" w:hAnsi="Cambria"/>
                <w:b/>
                <w:bCs/>
                <w:sz w:val="24"/>
                <w:szCs w:val="28"/>
              </w:rPr>
              <w:t>Findings</w:t>
            </w:r>
          </w:p>
          <w:p w14:paraId="117315D1" w14:textId="257220EC" w:rsidR="00164F9A" w:rsidRPr="006B2D97" w:rsidRDefault="00164F9A" w:rsidP="00164F9A">
            <w:pPr>
              <w:pStyle w:val="ListParagraph"/>
              <w:numPr>
                <w:ilvl w:val="0"/>
                <w:numId w:val="9"/>
              </w:numPr>
              <w:tabs>
                <w:tab w:val="left" w:pos="5494"/>
              </w:tabs>
              <w:rPr>
                <w:rFonts w:ascii="Cambria" w:hAnsi="Cambria"/>
                <w:sz w:val="24"/>
                <w:szCs w:val="28"/>
              </w:rPr>
            </w:pPr>
            <w:r w:rsidRPr="006B2D97">
              <w:rPr>
                <w:rFonts w:ascii="Cambria" w:hAnsi="Cambria"/>
                <w:sz w:val="24"/>
                <w:szCs w:val="28"/>
              </w:rPr>
              <w:t>Engagement Drives Churn More Than Product Count Alone</w:t>
            </w:r>
          </w:p>
          <w:p w14:paraId="0835ADA3" w14:textId="3B985EA9" w:rsidR="00BA5414" w:rsidRPr="006B2D97" w:rsidRDefault="00BA5414" w:rsidP="00164F9A">
            <w:pPr>
              <w:pStyle w:val="ListParagraph"/>
              <w:numPr>
                <w:ilvl w:val="0"/>
                <w:numId w:val="9"/>
              </w:numPr>
              <w:tabs>
                <w:tab w:val="left" w:pos="5494"/>
              </w:tabs>
              <w:rPr>
                <w:rFonts w:ascii="Cambria" w:hAnsi="Cambria"/>
                <w:sz w:val="24"/>
                <w:szCs w:val="28"/>
              </w:rPr>
            </w:pPr>
            <w:r w:rsidRPr="006B2D97">
              <w:rPr>
                <w:rFonts w:ascii="Cambria" w:hAnsi="Cambria"/>
                <w:sz w:val="24"/>
                <w:szCs w:val="28"/>
              </w:rPr>
              <w:t>Product Depth Has a Non-Linear, Not Purely Positive, Effect on Retention</w:t>
            </w:r>
          </w:p>
          <w:p w14:paraId="0C7918AC" w14:textId="11835D07" w:rsidR="00BA5414" w:rsidRPr="006B2D97" w:rsidRDefault="00BA5414" w:rsidP="00164F9A">
            <w:pPr>
              <w:pStyle w:val="ListParagraph"/>
              <w:numPr>
                <w:ilvl w:val="0"/>
                <w:numId w:val="9"/>
              </w:numPr>
              <w:tabs>
                <w:tab w:val="left" w:pos="5494"/>
              </w:tabs>
              <w:rPr>
                <w:rFonts w:ascii="Cambria" w:hAnsi="Cambria"/>
                <w:sz w:val="24"/>
                <w:szCs w:val="28"/>
              </w:rPr>
            </w:pPr>
            <w:r w:rsidRPr="006B2D97">
              <w:rPr>
                <w:rFonts w:ascii="Cambria" w:hAnsi="Cambria"/>
                <w:sz w:val="24"/>
                <w:szCs w:val="28"/>
              </w:rPr>
              <w:t>Activity Status Is the Strongest Behavioral Predictor</w:t>
            </w:r>
          </w:p>
          <w:p w14:paraId="16EED719" w14:textId="7F5D14D1" w:rsidR="003B5ACD" w:rsidRPr="006B2D97" w:rsidRDefault="003B5ACD" w:rsidP="00164F9A">
            <w:pPr>
              <w:pStyle w:val="ListParagraph"/>
              <w:numPr>
                <w:ilvl w:val="0"/>
                <w:numId w:val="9"/>
              </w:numPr>
              <w:tabs>
                <w:tab w:val="left" w:pos="5494"/>
              </w:tabs>
              <w:rPr>
                <w:rFonts w:ascii="Cambria" w:hAnsi="Cambria"/>
                <w:sz w:val="24"/>
                <w:szCs w:val="28"/>
              </w:rPr>
            </w:pPr>
            <w:r w:rsidRPr="006B2D97">
              <w:rPr>
                <w:rFonts w:ascii="Cambria" w:hAnsi="Cambria"/>
                <w:sz w:val="24"/>
                <w:szCs w:val="28"/>
              </w:rPr>
              <w:t>At-Risk Premium Customers Represent Meaningful Silent-Churn Exposure</w:t>
            </w:r>
          </w:p>
          <w:p w14:paraId="2FC91D69" w14:textId="65C629F7" w:rsidR="003B5ACD" w:rsidRPr="006B2D97" w:rsidRDefault="003B5ACD" w:rsidP="00164F9A">
            <w:pPr>
              <w:pStyle w:val="ListParagraph"/>
              <w:numPr>
                <w:ilvl w:val="0"/>
                <w:numId w:val="9"/>
              </w:numPr>
              <w:tabs>
                <w:tab w:val="left" w:pos="5494"/>
              </w:tabs>
              <w:rPr>
                <w:rFonts w:ascii="Cambria" w:hAnsi="Cambria"/>
                <w:sz w:val="24"/>
                <w:szCs w:val="28"/>
              </w:rPr>
            </w:pPr>
            <w:r w:rsidRPr="006B2D97">
              <w:rPr>
                <w:rFonts w:ascii="Cambria" w:hAnsi="Cambria"/>
                <w:sz w:val="24"/>
                <w:szCs w:val="28"/>
              </w:rPr>
              <w:t>Relationship Strength Index Outperforms Any Single Factor</w:t>
            </w:r>
          </w:p>
          <w:p w14:paraId="31A49663" w14:textId="05A9E174" w:rsidR="003B5ACD" w:rsidRPr="006B2D97" w:rsidRDefault="002B61EC" w:rsidP="00164F9A">
            <w:pPr>
              <w:pStyle w:val="ListParagraph"/>
              <w:numPr>
                <w:ilvl w:val="0"/>
                <w:numId w:val="9"/>
              </w:numPr>
              <w:tabs>
                <w:tab w:val="left" w:pos="5494"/>
              </w:tabs>
              <w:rPr>
                <w:rFonts w:ascii="Cambria" w:hAnsi="Cambria"/>
                <w:sz w:val="24"/>
                <w:szCs w:val="28"/>
              </w:rPr>
            </w:pPr>
            <w:r w:rsidRPr="006B2D97">
              <w:rPr>
                <w:rFonts w:ascii="Cambria" w:hAnsi="Cambria"/>
                <w:sz w:val="24"/>
                <w:szCs w:val="28"/>
              </w:rPr>
              <w:t>Geographic and Demographic Context</w:t>
            </w:r>
          </w:p>
          <w:p w14:paraId="23DC8AA2" w14:textId="63958B1E" w:rsidR="00164F9A" w:rsidRPr="009B00D8" w:rsidRDefault="00164F9A" w:rsidP="001E3338">
            <w:pPr>
              <w:tabs>
                <w:tab w:val="left" w:pos="5494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957" w:type="dxa"/>
          </w:tcPr>
          <w:p w14:paraId="5EBF37AD" w14:textId="01D367C0" w:rsidR="00796C43" w:rsidRPr="00592E54" w:rsidRDefault="007D4D35" w:rsidP="001E3338">
            <w:pPr>
              <w:tabs>
                <w:tab w:val="left" w:pos="5494"/>
              </w:tabs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4-</w:t>
            </w:r>
            <w:r w:rsidR="00E13299">
              <w:rPr>
                <w:b/>
                <w:bCs/>
                <w:szCs w:val="24"/>
              </w:rPr>
              <w:t>9</w:t>
            </w:r>
          </w:p>
        </w:tc>
      </w:tr>
      <w:tr w:rsidR="00796C43" w14:paraId="3BFC439F" w14:textId="77777777" w:rsidTr="000B2A11">
        <w:trPr>
          <w:trHeight w:val="405"/>
        </w:trPr>
        <w:tc>
          <w:tcPr>
            <w:tcW w:w="1199" w:type="dxa"/>
          </w:tcPr>
          <w:p w14:paraId="52DCC8EB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5421" w:type="dxa"/>
          </w:tcPr>
          <w:p w14:paraId="7B14C33F" w14:textId="5B6FA330" w:rsidR="00796C43" w:rsidRPr="006B2D97" w:rsidRDefault="002B61EC" w:rsidP="001E3338">
            <w:pPr>
              <w:tabs>
                <w:tab w:val="left" w:pos="5494"/>
              </w:tabs>
              <w:rPr>
                <w:b/>
                <w:bCs/>
                <w:sz w:val="24"/>
                <w:szCs w:val="28"/>
              </w:rPr>
            </w:pPr>
            <w:r w:rsidRPr="006B2D97">
              <w:rPr>
                <w:rFonts w:ascii="Cambria" w:hAnsi="Cambria"/>
                <w:b/>
                <w:bCs/>
                <w:sz w:val="24"/>
                <w:szCs w:val="28"/>
              </w:rPr>
              <w:t>Key Performance Indicators</w:t>
            </w:r>
          </w:p>
        </w:tc>
        <w:tc>
          <w:tcPr>
            <w:tcW w:w="2957" w:type="dxa"/>
          </w:tcPr>
          <w:p w14:paraId="66934CF5" w14:textId="1685E4C9" w:rsidR="00796C43" w:rsidRPr="00592E54" w:rsidRDefault="003D42C6" w:rsidP="001E3338">
            <w:pPr>
              <w:tabs>
                <w:tab w:val="left" w:pos="5494"/>
              </w:tabs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10</w:t>
            </w:r>
          </w:p>
        </w:tc>
      </w:tr>
      <w:tr w:rsidR="00796C43" w14:paraId="353F9338" w14:textId="77777777" w:rsidTr="000B2A11">
        <w:trPr>
          <w:trHeight w:val="420"/>
        </w:trPr>
        <w:tc>
          <w:tcPr>
            <w:tcW w:w="1199" w:type="dxa"/>
          </w:tcPr>
          <w:p w14:paraId="57BB04D3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421" w:type="dxa"/>
          </w:tcPr>
          <w:p w14:paraId="3CB4F93B" w14:textId="463200EA" w:rsidR="00796C43" w:rsidRPr="006B2D97" w:rsidRDefault="002B61EC" w:rsidP="001E3338">
            <w:pPr>
              <w:tabs>
                <w:tab w:val="left" w:pos="5494"/>
              </w:tabs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6B2D97">
              <w:rPr>
                <w:rFonts w:ascii="Cambria" w:hAnsi="Cambria"/>
                <w:b/>
                <w:bCs/>
                <w:sz w:val="24"/>
                <w:szCs w:val="28"/>
              </w:rPr>
              <w:t>Discussion and Strategic Insights</w:t>
            </w:r>
          </w:p>
        </w:tc>
        <w:tc>
          <w:tcPr>
            <w:tcW w:w="2957" w:type="dxa"/>
          </w:tcPr>
          <w:p w14:paraId="05CA1977" w14:textId="03417948" w:rsidR="00796C43" w:rsidRPr="00592E54" w:rsidRDefault="003D42C6" w:rsidP="001E3338">
            <w:pPr>
              <w:tabs>
                <w:tab w:val="left" w:pos="5494"/>
              </w:tabs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10</w:t>
            </w:r>
          </w:p>
        </w:tc>
      </w:tr>
      <w:tr w:rsidR="00796C43" w14:paraId="1AE21AD0" w14:textId="77777777" w:rsidTr="000B2A11">
        <w:trPr>
          <w:trHeight w:val="405"/>
        </w:trPr>
        <w:tc>
          <w:tcPr>
            <w:tcW w:w="1199" w:type="dxa"/>
          </w:tcPr>
          <w:p w14:paraId="62FF8C88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421" w:type="dxa"/>
          </w:tcPr>
          <w:p w14:paraId="00BF184C" w14:textId="47847645" w:rsidR="00796C43" w:rsidRPr="006B2D97" w:rsidRDefault="002B61EC" w:rsidP="001E3338">
            <w:pPr>
              <w:tabs>
                <w:tab w:val="left" w:pos="5494"/>
              </w:tabs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6B2D97">
              <w:rPr>
                <w:rFonts w:ascii="Cambria" w:hAnsi="Cambria"/>
                <w:b/>
                <w:bCs/>
                <w:sz w:val="24"/>
                <w:szCs w:val="28"/>
              </w:rPr>
              <w:t>Recommendations</w:t>
            </w:r>
          </w:p>
        </w:tc>
        <w:tc>
          <w:tcPr>
            <w:tcW w:w="2957" w:type="dxa"/>
          </w:tcPr>
          <w:p w14:paraId="3E13DBC0" w14:textId="4F514030" w:rsidR="00796C43" w:rsidRPr="00592E54" w:rsidRDefault="003D42C6" w:rsidP="001E3338">
            <w:pPr>
              <w:tabs>
                <w:tab w:val="left" w:pos="5494"/>
              </w:tabs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11</w:t>
            </w:r>
          </w:p>
        </w:tc>
      </w:tr>
      <w:tr w:rsidR="00796C43" w14:paraId="7CDEAE65" w14:textId="77777777" w:rsidTr="000B2A11">
        <w:trPr>
          <w:trHeight w:val="463"/>
        </w:trPr>
        <w:tc>
          <w:tcPr>
            <w:tcW w:w="1199" w:type="dxa"/>
          </w:tcPr>
          <w:p w14:paraId="6F2B5621" w14:textId="77777777" w:rsidR="00796C43" w:rsidRDefault="00796C43" w:rsidP="001E3338">
            <w:pPr>
              <w:tabs>
                <w:tab w:val="left" w:pos="5494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5421" w:type="dxa"/>
          </w:tcPr>
          <w:p w14:paraId="6C943582" w14:textId="77777777" w:rsidR="00796C43" w:rsidRPr="006B2D97" w:rsidRDefault="00796C43" w:rsidP="001E3338">
            <w:pPr>
              <w:tabs>
                <w:tab w:val="left" w:pos="5494"/>
              </w:tabs>
              <w:rPr>
                <w:b/>
                <w:bCs/>
                <w:sz w:val="24"/>
                <w:szCs w:val="28"/>
              </w:rPr>
            </w:pPr>
            <w:r w:rsidRPr="006B2D97">
              <w:rPr>
                <w:rFonts w:ascii="Cambria" w:hAnsi="Cambria"/>
                <w:b/>
                <w:bCs/>
                <w:sz w:val="24"/>
                <w:szCs w:val="28"/>
              </w:rPr>
              <w:t>Conclusion</w:t>
            </w:r>
          </w:p>
        </w:tc>
        <w:tc>
          <w:tcPr>
            <w:tcW w:w="2957" w:type="dxa"/>
          </w:tcPr>
          <w:p w14:paraId="0CD5B072" w14:textId="219BEB08" w:rsidR="00796C43" w:rsidRPr="00592E54" w:rsidRDefault="003D42C6" w:rsidP="001E3338">
            <w:pPr>
              <w:tabs>
                <w:tab w:val="left" w:pos="5494"/>
              </w:tabs>
              <w:spacing w:before="12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11</w:t>
            </w:r>
          </w:p>
        </w:tc>
      </w:tr>
    </w:tbl>
    <w:sdt>
      <w:sdtPr>
        <w:alias w:val="Table of Contents"/>
        <w:id w:val="-1969818763"/>
      </w:sdtPr>
      <w:sdtEndPr/>
      <w:sdtContent>
        <w:p w14:paraId="53983E2E" w14:textId="77777777" w:rsidR="009920E7" w:rsidRDefault="009920E7" w:rsidP="009920E7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4A99C825" w14:textId="3A6EC356" w:rsidR="00572DC0" w:rsidRDefault="009920E7" w:rsidP="000C686F">
          <w:r>
            <w:fldChar w:fldCharType="end"/>
          </w:r>
        </w:p>
      </w:sdtContent>
    </w:sdt>
    <w:p w14:paraId="450639D5" w14:textId="77777777" w:rsidR="00572DC0" w:rsidRDefault="00572DC0" w:rsidP="000C686F"/>
    <w:p w14:paraId="1CA3D598" w14:textId="5A3BD925" w:rsidR="009920E7" w:rsidRPr="00572DC0" w:rsidRDefault="009920E7" w:rsidP="000C686F">
      <w:pPr>
        <w:rPr>
          <w:sz w:val="40"/>
          <w:szCs w:val="40"/>
        </w:rPr>
      </w:pPr>
      <w:r w:rsidRPr="00572DC0">
        <w:rPr>
          <w:rFonts w:ascii="Times New Roman" w:hAnsi="Times New Roman" w:cs="Times New Roman"/>
          <w:b/>
          <w:bCs/>
          <w:color w:val="262626" w:themeColor="text1" w:themeTint="D9"/>
          <w:sz w:val="40"/>
          <w:szCs w:val="40"/>
        </w:rPr>
        <w:t>Abstract</w:t>
      </w:r>
    </w:p>
    <w:p w14:paraId="6F087927" w14:textId="3BD04DE4" w:rsidR="009920E7" w:rsidRPr="000C686F" w:rsidRDefault="009920E7" w:rsidP="00291432">
      <w:pPr>
        <w:pStyle w:val="Heading1"/>
        <w:spacing w:before="320" w:after="160" w:line="276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0C686F">
        <w:rPr>
          <w:rFonts w:ascii="Calibri" w:eastAsia="Calibri" w:hAnsi="Calibri" w:cs="Calibri"/>
          <w:color w:val="auto"/>
          <w:sz w:val="24"/>
          <w:szCs w:val="24"/>
        </w:rPr>
        <w:t xml:space="preserve">Customer churn in retail banking is routinely </w:t>
      </w:r>
      <w:r w:rsidR="00884D44" w:rsidRPr="000C686F">
        <w:rPr>
          <w:rFonts w:ascii="Calibri" w:eastAsia="Calibri" w:hAnsi="Calibri" w:cs="Calibri"/>
          <w:color w:val="auto"/>
          <w:sz w:val="24"/>
          <w:szCs w:val="24"/>
        </w:rPr>
        <w:t>modelled</w:t>
      </w:r>
      <w:r w:rsidRPr="000C686F">
        <w:rPr>
          <w:rFonts w:ascii="Calibri" w:eastAsia="Calibri" w:hAnsi="Calibri" w:cs="Calibri"/>
          <w:color w:val="auto"/>
          <w:sz w:val="24"/>
          <w:szCs w:val="24"/>
        </w:rPr>
        <w:t xml:space="preserve"> using demographic and financial characteristics, but these signals frequently fail to explain why financially sound clients continue to depart. This study examines 10,000 customer records from a European retail bank to see whether engagement and product-relationship depth, rather than balance or salary, better explain attrition. Using engagement segmentation, product utilization analysis, and a composite Relationship Strength Index (RSI), the analysis discovers that activity status and product count interact non-linearly with churn: single-product and over-leveraged (3-4 product) customers churn far more than customers holding exactly two products, and inactive high-balance customers churn nearly three times as fast as engaged customers. These findings encourage a move away from demographic-based retention strategies and toward engagement-driven, product-mix-aware treatments.</w:t>
      </w:r>
    </w:p>
    <w:p w14:paraId="44CDC8EA" w14:textId="77777777" w:rsidR="009D3946" w:rsidRPr="009D3946" w:rsidRDefault="009D3946" w:rsidP="009D3946"/>
    <w:p w14:paraId="5871FEED" w14:textId="77777777" w:rsidR="009D3946" w:rsidRPr="009D3946" w:rsidRDefault="009D3946" w:rsidP="009D3946"/>
    <w:p w14:paraId="1BC436E4" w14:textId="53B55847" w:rsidR="009920E7" w:rsidRPr="00BD002C" w:rsidRDefault="009920E7" w:rsidP="009920E7">
      <w:pPr>
        <w:pStyle w:val="Heading1"/>
        <w:spacing w:before="320" w:after="160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BD002C">
        <w:rPr>
          <w:rFonts w:ascii="Times New Roman" w:hAnsi="Times New Roman" w:cs="Times New Roman"/>
          <w:b/>
          <w:bCs/>
          <w:color w:val="262626" w:themeColor="text1" w:themeTint="D9"/>
        </w:rPr>
        <w:t>1. Background and Context</w:t>
      </w:r>
    </w:p>
    <w:p w14:paraId="075F27F5" w14:textId="74600DF7" w:rsidR="009920E7" w:rsidRDefault="009920E7" w:rsidP="00291432">
      <w:pPr>
        <w:pStyle w:val="Heading2"/>
        <w:spacing w:before="240" w:after="120" w:line="276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0C686F">
        <w:rPr>
          <w:rFonts w:ascii="Calibri" w:eastAsia="Calibri" w:hAnsi="Calibri" w:cs="Calibri"/>
          <w:color w:val="auto"/>
          <w:sz w:val="24"/>
          <w:szCs w:val="24"/>
        </w:rPr>
        <w:t xml:space="preserve">Banks are increasingly recognizing that long-term retention is determined by customer </w:t>
      </w:r>
      <w:r w:rsidR="00EE3F95" w:rsidRPr="000C686F">
        <w:rPr>
          <w:rFonts w:ascii="Calibri" w:eastAsia="Calibri" w:hAnsi="Calibri" w:cs="Calibri"/>
          <w:color w:val="auto"/>
          <w:sz w:val="24"/>
          <w:szCs w:val="24"/>
        </w:rPr>
        <w:t>behaviour</w:t>
      </w:r>
      <w:r w:rsidRPr="000C686F">
        <w:rPr>
          <w:rFonts w:ascii="Calibri" w:eastAsia="Calibri" w:hAnsi="Calibri" w:cs="Calibri"/>
          <w:color w:val="auto"/>
          <w:sz w:val="24"/>
          <w:szCs w:val="24"/>
        </w:rPr>
        <w:t xml:space="preserve"> and engagement rather than demographics alone. Customers may appear financially secure, with a large balance or salary, yet they nonetheless churn due to low engagement, restricted product adoption, or a weak relationship depth with the bank. Understanding how customers utilize banking products and services is critical for developing effective cross-selling tactics, loyalty programs, and engagement-based retention activities. This project, commissioned as part of the Unified Mentor program in collaboration with the European Central Bank, assesses retention using the lens of customer </w:t>
      </w:r>
      <w:r w:rsidR="00EE3F95" w:rsidRPr="000C686F">
        <w:rPr>
          <w:rFonts w:ascii="Calibri" w:eastAsia="Calibri" w:hAnsi="Calibri" w:cs="Calibri"/>
          <w:color w:val="auto"/>
          <w:sz w:val="24"/>
          <w:szCs w:val="24"/>
        </w:rPr>
        <w:t>behaviour</w:t>
      </w:r>
      <w:r w:rsidRPr="000C686F">
        <w:rPr>
          <w:rFonts w:ascii="Calibri" w:eastAsia="Calibri" w:hAnsi="Calibri" w:cs="Calibri"/>
          <w:color w:val="auto"/>
          <w:sz w:val="24"/>
          <w:szCs w:val="24"/>
        </w:rPr>
        <w:t xml:space="preserve"> and relationship strength.</w:t>
      </w:r>
    </w:p>
    <w:p w14:paraId="53B0E8EE" w14:textId="77777777" w:rsidR="00884D44" w:rsidRPr="00884D44" w:rsidRDefault="00884D44" w:rsidP="00884D44"/>
    <w:p w14:paraId="67637B70" w14:textId="17F4048C" w:rsidR="009920E7" w:rsidRPr="00633B32" w:rsidRDefault="009920E7" w:rsidP="009920E7">
      <w:pPr>
        <w:pStyle w:val="Heading2"/>
        <w:spacing w:before="240" w:after="120"/>
        <w:rPr>
          <w:rFonts w:ascii="Times New Roman" w:hAnsi="Times New Roman" w:cs="Times New Roman"/>
          <w:color w:val="262626" w:themeColor="text1" w:themeTint="D9"/>
          <w:sz w:val="36"/>
          <w:szCs w:val="36"/>
        </w:rPr>
      </w:pPr>
      <w:r w:rsidRPr="00633B32">
        <w:rPr>
          <w:rFonts w:ascii="Times New Roman" w:hAnsi="Times New Roman" w:cs="Times New Roman"/>
          <w:color w:val="262626" w:themeColor="text1" w:themeTint="D9"/>
          <w:sz w:val="36"/>
          <w:szCs w:val="36"/>
        </w:rPr>
        <w:t>1.1 Problem Statement</w:t>
      </w:r>
    </w:p>
    <w:p w14:paraId="27DD9F38" w14:textId="02380D9D" w:rsidR="009920E7" w:rsidRDefault="009920E7" w:rsidP="00291432">
      <w:pPr>
        <w:pStyle w:val="Heading2"/>
        <w:spacing w:before="240" w:after="120" w:line="276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0C686F">
        <w:rPr>
          <w:rFonts w:ascii="Calibri" w:eastAsia="Calibri" w:hAnsi="Calibri" w:cs="Calibri"/>
          <w:color w:val="auto"/>
          <w:sz w:val="24"/>
          <w:szCs w:val="24"/>
        </w:rPr>
        <w:t xml:space="preserve">Despite having data on client engagement and product usage, banks frequently lack quantitative insight into which </w:t>
      </w:r>
      <w:r w:rsidR="00EE3F95" w:rsidRPr="000C686F">
        <w:rPr>
          <w:rFonts w:ascii="Calibri" w:eastAsia="Calibri" w:hAnsi="Calibri" w:cs="Calibri"/>
          <w:color w:val="auto"/>
          <w:sz w:val="24"/>
          <w:szCs w:val="24"/>
        </w:rPr>
        <w:t>behaviour’s</w:t>
      </w:r>
      <w:r w:rsidRPr="000C686F">
        <w:rPr>
          <w:rFonts w:ascii="Calibri" w:eastAsia="Calibri" w:hAnsi="Calibri" w:cs="Calibri"/>
          <w:color w:val="auto"/>
          <w:sz w:val="24"/>
          <w:szCs w:val="24"/>
        </w:rPr>
        <w:t xml:space="preserve"> drive retention, clarity on whether product depth decreases turnover, and proof that high balances alone secure loyalty. As a result, retention methods are typically general and do not reflect actual customer </w:t>
      </w:r>
      <w:r w:rsidR="00A536AD" w:rsidRPr="000C686F">
        <w:rPr>
          <w:rFonts w:ascii="Calibri" w:eastAsia="Calibri" w:hAnsi="Calibri" w:cs="Calibri"/>
          <w:color w:val="auto"/>
          <w:sz w:val="24"/>
          <w:szCs w:val="24"/>
        </w:rPr>
        <w:t>behaviour</w:t>
      </w:r>
      <w:r w:rsidRPr="000C686F">
        <w:rPr>
          <w:rFonts w:ascii="Calibri" w:eastAsia="Calibri" w:hAnsi="Calibri" w:cs="Calibri"/>
          <w:color w:val="auto"/>
          <w:sz w:val="24"/>
          <w:szCs w:val="24"/>
        </w:rPr>
        <w:t>.</w:t>
      </w:r>
    </w:p>
    <w:p w14:paraId="19C0692A" w14:textId="77777777" w:rsidR="00884D44" w:rsidRPr="00884D44" w:rsidRDefault="00884D44" w:rsidP="00291432">
      <w:pPr>
        <w:spacing w:line="276" w:lineRule="auto"/>
      </w:pPr>
    </w:p>
    <w:p w14:paraId="44871868" w14:textId="3919A50C" w:rsidR="009920E7" w:rsidRDefault="009920E7" w:rsidP="009920E7">
      <w:pPr>
        <w:pStyle w:val="Heading2"/>
        <w:spacing w:before="240" w:after="120"/>
        <w:rPr>
          <w:rFonts w:ascii="Times New Roman" w:hAnsi="Times New Roman" w:cs="Times New Roman"/>
          <w:color w:val="262626" w:themeColor="text1" w:themeTint="D9"/>
          <w:sz w:val="36"/>
          <w:szCs w:val="36"/>
        </w:rPr>
      </w:pPr>
      <w:r w:rsidRPr="00633B32">
        <w:rPr>
          <w:rFonts w:ascii="Times New Roman" w:hAnsi="Times New Roman" w:cs="Times New Roman"/>
          <w:color w:val="262626" w:themeColor="text1" w:themeTint="D9"/>
          <w:sz w:val="36"/>
          <w:szCs w:val="36"/>
        </w:rPr>
        <w:lastRenderedPageBreak/>
        <w:t>1.2 Objectives</w:t>
      </w:r>
    </w:p>
    <w:p w14:paraId="3C40F191" w14:textId="77777777" w:rsidR="0041454F" w:rsidRPr="0041454F" w:rsidRDefault="0041454F" w:rsidP="0041454F"/>
    <w:p w14:paraId="0DC01DBC" w14:textId="77777777" w:rsidR="009920E7" w:rsidRPr="000C686F" w:rsidRDefault="009920E7" w:rsidP="009920E7">
      <w:pPr>
        <w:spacing w:after="160"/>
        <w:rPr>
          <w:sz w:val="24"/>
          <w:szCs w:val="24"/>
        </w:rPr>
      </w:pPr>
      <w:r w:rsidRPr="000C686F">
        <w:rPr>
          <w:sz w:val="24"/>
          <w:szCs w:val="24"/>
        </w:rPr>
        <w:t>Primary objectives:</w:t>
      </w:r>
    </w:p>
    <w:p w14:paraId="1A08F6E1" w14:textId="03EB950B" w:rsidR="00E427AD" w:rsidRPr="00E427AD" w:rsidRDefault="00E427AD" w:rsidP="00E427AD">
      <w:pPr>
        <w:spacing w:after="160"/>
        <w:ind w:left="720"/>
        <w:rPr>
          <w:sz w:val="24"/>
          <w:szCs w:val="24"/>
        </w:rPr>
      </w:pPr>
      <w:r w:rsidRPr="00E427AD">
        <w:rPr>
          <w:sz w:val="24"/>
          <w:szCs w:val="24"/>
        </w:rPr>
        <w:t xml:space="preserve">● </w:t>
      </w:r>
      <w:r w:rsidR="000B6873" w:rsidRPr="00E427AD">
        <w:rPr>
          <w:sz w:val="24"/>
          <w:szCs w:val="24"/>
        </w:rPr>
        <w:t>Analyse</w:t>
      </w:r>
      <w:r w:rsidRPr="00E427AD">
        <w:rPr>
          <w:sz w:val="24"/>
          <w:szCs w:val="24"/>
        </w:rPr>
        <w:t xml:space="preserve"> the correlation between engagement and churn</w:t>
      </w:r>
    </w:p>
    <w:p w14:paraId="64F3D8A6" w14:textId="77777777" w:rsidR="00E427AD" w:rsidRPr="00E427AD" w:rsidRDefault="00E427AD" w:rsidP="00E427AD">
      <w:pPr>
        <w:spacing w:after="160"/>
        <w:ind w:left="720"/>
        <w:rPr>
          <w:sz w:val="24"/>
          <w:szCs w:val="24"/>
        </w:rPr>
      </w:pPr>
      <w:r w:rsidRPr="00E427AD">
        <w:rPr>
          <w:sz w:val="24"/>
          <w:szCs w:val="24"/>
        </w:rPr>
        <w:t>● Measure the retention effect of product volume and product mix</w:t>
      </w:r>
    </w:p>
    <w:p w14:paraId="6120E37B" w14:textId="77777777" w:rsidR="00E427AD" w:rsidRDefault="00E427AD" w:rsidP="00E427AD">
      <w:pPr>
        <w:spacing w:after="160"/>
        <w:ind w:left="720"/>
        <w:rPr>
          <w:sz w:val="24"/>
          <w:szCs w:val="24"/>
        </w:rPr>
      </w:pPr>
      <w:r w:rsidRPr="00E427AD">
        <w:rPr>
          <w:sz w:val="24"/>
          <w:szCs w:val="24"/>
        </w:rPr>
        <w:t xml:space="preserve">● Identify high-value but disengaged customers </w:t>
      </w:r>
    </w:p>
    <w:p w14:paraId="6A9693CC" w14:textId="57E0AB85" w:rsidR="009920E7" w:rsidRPr="000C686F" w:rsidRDefault="009920E7" w:rsidP="00E427AD">
      <w:pPr>
        <w:spacing w:after="160"/>
        <w:rPr>
          <w:sz w:val="24"/>
          <w:szCs w:val="24"/>
        </w:rPr>
      </w:pPr>
      <w:r w:rsidRPr="000C686F">
        <w:rPr>
          <w:sz w:val="24"/>
          <w:szCs w:val="24"/>
        </w:rPr>
        <w:t>Secondary objectives:</w:t>
      </w:r>
    </w:p>
    <w:p w14:paraId="4F58E396" w14:textId="77777777" w:rsidR="00E427AD" w:rsidRPr="00E427AD" w:rsidRDefault="00E427AD" w:rsidP="00291432">
      <w:pPr>
        <w:pStyle w:val="ListParagraph"/>
        <w:spacing w:after="80" w:line="360" w:lineRule="auto"/>
        <w:rPr>
          <w:sz w:val="24"/>
          <w:szCs w:val="24"/>
        </w:rPr>
      </w:pPr>
      <w:r w:rsidRPr="00E427AD">
        <w:rPr>
          <w:sz w:val="24"/>
          <w:szCs w:val="24"/>
        </w:rPr>
        <w:t>● Support engagement-driven retention strategies</w:t>
      </w:r>
    </w:p>
    <w:p w14:paraId="201FC9C3" w14:textId="77777777" w:rsidR="00E427AD" w:rsidRPr="00E427AD" w:rsidRDefault="00E427AD" w:rsidP="00291432">
      <w:pPr>
        <w:pStyle w:val="ListParagraph"/>
        <w:spacing w:after="80" w:line="360" w:lineRule="auto"/>
        <w:rPr>
          <w:sz w:val="24"/>
          <w:szCs w:val="24"/>
        </w:rPr>
      </w:pPr>
      <w:r w:rsidRPr="00E427AD">
        <w:rPr>
          <w:sz w:val="24"/>
          <w:szCs w:val="24"/>
        </w:rPr>
        <w:t>● Enhance product bundling decisions</w:t>
      </w:r>
    </w:p>
    <w:p w14:paraId="60F74C05" w14:textId="7E8BF043" w:rsidR="009D3946" w:rsidRDefault="00E427AD" w:rsidP="00291432">
      <w:pPr>
        <w:pStyle w:val="ListParagraph"/>
        <w:spacing w:after="80" w:line="360" w:lineRule="auto"/>
        <w:contextualSpacing w:val="0"/>
        <w:rPr>
          <w:sz w:val="24"/>
          <w:szCs w:val="24"/>
        </w:rPr>
      </w:pPr>
      <w:r w:rsidRPr="00E427AD">
        <w:rPr>
          <w:sz w:val="24"/>
          <w:szCs w:val="24"/>
        </w:rPr>
        <w:t>● Reduce silent churn of premium customers</w:t>
      </w:r>
    </w:p>
    <w:p w14:paraId="69FB3493" w14:textId="77777777" w:rsidR="00C84712" w:rsidRDefault="00C84712" w:rsidP="00291432">
      <w:pPr>
        <w:pStyle w:val="ListParagraph"/>
        <w:spacing w:after="80" w:line="360" w:lineRule="auto"/>
        <w:contextualSpacing w:val="0"/>
      </w:pPr>
    </w:p>
    <w:p w14:paraId="69DFB7E7" w14:textId="77777777" w:rsidR="003547ED" w:rsidRDefault="003547ED" w:rsidP="00E427AD">
      <w:pPr>
        <w:pStyle w:val="ListParagraph"/>
        <w:spacing w:after="80"/>
        <w:contextualSpacing w:val="0"/>
      </w:pPr>
    </w:p>
    <w:p w14:paraId="2CB25A1C" w14:textId="77777777" w:rsidR="009920E7" w:rsidRDefault="009920E7" w:rsidP="009920E7">
      <w:pPr>
        <w:pStyle w:val="Heading1"/>
        <w:spacing w:before="320" w:after="160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633B32">
        <w:rPr>
          <w:rFonts w:ascii="Times New Roman" w:hAnsi="Times New Roman" w:cs="Times New Roman"/>
          <w:b/>
          <w:bCs/>
          <w:color w:val="262626" w:themeColor="text1" w:themeTint="D9"/>
        </w:rPr>
        <w:t>2. Dataset Description</w:t>
      </w:r>
    </w:p>
    <w:p w14:paraId="50D02951" w14:textId="77777777" w:rsidR="00F9071E" w:rsidRPr="00F9071E" w:rsidRDefault="00F9071E" w:rsidP="00F9071E"/>
    <w:p w14:paraId="3A375FC0" w14:textId="6E206D6F" w:rsidR="00E427AD" w:rsidRPr="00E427AD" w:rsidRDefault="00E427AD" w:rsidP="00291432">
      <w:pPr>
        <w:spacing w:after="160" w:line="276" w:lineRule="auto"/>
        <w:rPr>
          <w:sz w:val="24"/>
          <w:szCs w:val="24"/>
        </w:rPr>
      </w:pPr>
      <w:r w:rsidRPr="00E427AD">
        <w:rPr>
          <w:sz w:val="24"/>
          <w:szCs w:val="24"/>
        </w:rPr>
        <w:t xml:space="preserve">The data set contains 10,000 records of customers with 14 fields each related to demographic, financial and </w:t>
      </w:r>
      <w:r w:rsidR="00A536AD" w:rsidRPr="00E427AD">
        <w:rPr>
          <w:sz w:val="24"/>
          <w:szCs w:val="24"/>
        </w:rPr>
        <w:t>behavioural</w:t>
      </w:r>
      <w:r w:rsidRPr="00E427AD">
        <w:rPr>
          <w:sz w:val="24"/>
          <w:szCs w:val="24"/>
        </w:rPr>
        <w:t xml:space="preserve"> attributes. All binary fields (HasCrCard, IsActiveMember, Exited) had only 0/1 values. It was checked that Geography contained France, Spain and Germany. No structural inconsistencies or missing values were found during the validation process.</w:t>
      </w:r>
    </w:p>
    <w:p w14:paraId="2AEEDC67" w14:textId="79612EF3" w:rsidR="009D3946" w:rsidRDefault="00E427AD" w:rsidP="00E427AD">
      <w:pPr>
        <w:spacing w:after="160"/>
      </w:pPr>
      <w:r w:rsidRPr="00E427AD">
        <w:rPr>
          <w:sz w:val="24"/>
          <w:szCs w:val="24"/>
        </w:rPr>
        <w:t xml:space="preserve">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1"/>
        <w:gridCol w:w="5705"/>
      </w:tblGrid>
      <w:tr w:rsidR="009920E7" w:rsidRPr="00FD545E" w14:paraId="30E13A32" w14:textId="77777777" w:rsidTr="004D520C">
        <w:trPr>
          <w:trHeight w:val="688"/>
        </w:trPr>
        <w:tc>
          <w:tcPr>
            <w:tcW w:w="0" w:type="auto"/>
            <w:shd w:val="clear" w:color="auto" w:fill="00B0F0"/>
          </w:tcPr>
          <w:p w14:paraId="5EFD933D" w14:textId="77777777" w:rsidR="009920E7" w:rsidRPr="00FD545E" w:rsidRDefault="009920E7" w:rsidP="001E3338">
            <w:pPr>
              <w:rPr>
                <w:rFonts w:ascii="Times New Roman" w:hAnsi="Times New Roman" w:cs="Times New Roman"/>
              </w:rPr>
            </w:pPr>
            <w:r w:rsidRPr="004D520C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>Column</w:t>
            </w:r>
          </w:p>
        </w:tc>
        <w:tc>
          <w:tcPr>
            <w:tcW w:w="0" w:type="auto"/>
            <w:shd w:val="clear" w:color="auto" w:fill="00B0F0"/>
          </w:tcPr>
          <w:p w14:paraId="41067C74" w14:textId="77777777" w:rsidR="009920E7" w:rsidRPr="004D520C" w:rsidRDefault="009920E7" w:rsidP="001E3338">
            <w:pPr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</w:pPr>
            <w:r w:rsidRPr="004D520C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>Description</w:t>
            </w:r>
          </w:p>
        </w:tc>
      </w:tr>
      <w:tr w:rsidR="009920E7" w:rsidRPr="00FD545E" w14:paraId="03D71633" w14:textId="77777777" w:rsidTr="001E3338">
        <w:tc>
          <w:tcPr>
            <w:tcW w:w="0" w:type="auto"/>
            <w:shd w:val="clear" w:color="auto" w:fill="F2F6FA"/>
          </w:tcPr>
          <w:p w14:paraId="4B8251A7" w14:textId="4E221120" w:rsidR="009920E7" w:rsidRPr="00FD545E" w:rsidRDefault="009920E7" w:rsidP="001E3338">
            <w:pPr>
              <w:rPr>
                <w:rFonts w:ascii="Times New Roman" w:hAnsi="Times New Roman" w:cs="Times New Roman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 w:rsidR="00A536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F2F6FA"/>
          </w:tcPr>
          <w:p w14:paraId="61834410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Unique customer identifier</w:t>
            </w:r>
          </w:p>
        </w:tc>
      </w:tr>
      <w:tr w:rsidR="009920E7" w:rsidRPr="00FD545E" w14:paraId="6ECBE37C" w14:textId="77777777" w:rsidTr="001E3338">
        <w:tc>
          <w:tcPr>
            <w:tcW w:w="0" w:type="auto"/>
            <w:shd w:val="clear" w:color="auto" w:fill="FFFFFF"/>
          </w:tcPr>
          <w:p w14:paraId="6D7B43B8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Surname</w:t>
            </w:r>
          </w:p>
        </w:tc>
        <w:tc>
          <w:tcPr>
            <w:tcW w:w="0" w:type="auto"/>
            <w:shd w:val="clear" w:color="auto" w:fill="FFFFFF"/>
          </w:tcPr>
          <w:p w14:paraId="2CE1D598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Customer surname</w:t>
            </w:r>
          </w:p>
        </w:tc>
      </w:tr>
      <w:tr w:rsidR="009920E7" w:rsidRPr="00FD545E" w14:paraId="0687EAE9" w14:textId="77777777" w:rsidTr="001E3338">
        <w:tc>
          <w:tcPr>
            <w:tcW w:w="0" w:type="auto"/>
            <w:shd w:val="clear" w:color="auto" w:fill="F2F6FA"/>
          </w:tcPr>
          <w:p w14:paraId="1EE2FFE3" w14:textId="59FCB113" w:rsidR="009920E7" w:rsidRPr="00300FAF" w:rsidRDefault="009920E7" w:rsidP="001E3338">
            <w:pPr>
              <w:rPr>
                <w:rStyle w:val="IntenseReferenc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Credit</w:t>
            </w:r>
            <w:r w:rsidR="00A536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0" w:type="auto"/>
            <w:shd w:val="clear" w:color="auto" w:fill="F2F6FA"/>
          </w:tcPr>
          <w:p w14:paraId="057F7A6A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Customer creditworthiness</w:t>
            </w:r>
          </w:p>
        </w:tc>
      </w:tr>
      <w:tr w:rsidR="009920E7" w:rsidRPr="00FD545E" w14:paraId="2965DB6E" w14:textId="77777777" w:rsidTr="001E3338">
        <w:tc>
          <w:tcPr>
            <w:tcW w:w="0" w:type="auto"/>
            <w:shd w:val="clear" w:color="auto" w:fill="FFFFFF"/>
          </w:tcPr>
          <w:p w14:paraId="274B9B2D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Geography</w:t>
            </w:r>
          </w:p>
        </w:tc>
        <w:tc>
          <w:tcPr>
            <w:tcW w:w="0" w:type="auto"/>
            <w:shd w:val="clear" w:color="auto" w:fill="FFFFFF"/>
          </w:tcPr>
          <w:p w14:paraId="1A8CDF79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France, Spain, Germany</w:t>
            </w:r>
          </w:p>
        </w:tc>
      </w:tr>
      <w:tr w:rsidR="009920E7" w:rsidRPr="00FD545E" w14:paraId="51AAB5E1" w14:textId="77777777" w:rsidTr="001E3338">
        <w:tc>
          <w:tcPr>
            <w:tcW w:w="0" w:type="auto"/>
            <w:shd w:val="clear" w:color="auto" w:fill="F2F6FA"/>
          </w:tcPr>
          <w:p w14:paraId="439FE6D3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shd w:val="clear" w:color="auto" w:fill="F2F6FA"/>
          </w:tcPr>
          <w:p w14:paraId="6866FAA7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Male / Female</w:t>
            </w:r>
          </w:p>
        </w:tc>
      </w:tr>
      <w:tr w:rsidR="009920E7" w:rsidRPr="00FD545E" w14:paraId="17886144" w14:textId="77777777" w:rsidTr="001E3338">
        <w:tc>
          <w:tcPr>
            <w:tcW w:w="0" w:type="auto"/>
            <w:shd w:val="clear" w:color="auto" w:fill="FFFFFF"/>
          </w:tcPr>
          <w:p w14:paraId="1D105115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shd w:val="clear" w:color="auto" w:fill="FFFFFF"/>
          </w:tcPr>
          <w:p w14:paraId="16034C07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Customer age</w:t>
            </w:r>
          </w:p>
        </w:tc>
      </w:tr>
      <w:tr w:rsidR="009920E7" w:rsidRPr="00FD545E" w14:paraId="4EB7DDE4" w14:textId="77777777" w:rsidTr="001E3338">
        <w:tc>
          <w:tcPr>
            <w:tcW w:w="0" w:type="auto"/>
            <w:shd w:val="clear" w:color="auto" w:fill="F2F6FA"/>
          </w:tcPr>
          <w:p w14:paraId="6608346F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Tenure</w:t>
            </w:r>
          </w:p>
        </w:tc>
        <w:tc>
          <w:tcPr>
            <w:tcW w:w="0" w:type="auto"/>
            <w:shd w:val="clear" w:color="auto" w:fill="F2F6FA"/>
          </w:tcPr>
          <w:p w14:paraId="63D07225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Years with the bank</w:t>
            </w:r>
          </w:p>
        </w:tc>
      </w:tr>
      <w:tr w:rsidR="009920E7" w:rsidRPr="00FD545E" w14:paraId="352D9F8C" w14:textId="77777777" w:rsidTr="001E3338">
        <w:tc>
          <w:tcPr>
            <w:tcW w:w="0" w:type="auto"/>
            <w:shd w:val="clear" w:color="auto" w:fill="FFFFFF"/>
          </w:tcPr>
          <w:p w14:paraId="7EC8559B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shd w:val="clear" w:color="auto" w:fill="FFFFFF"/>
          </w:tcPr>
          <w:p w14:paraId="66891D15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Account balance</w:t>
            </w:r>
          </w:p>
        </w:tc>
      </w:tr>
      <w:tr w:rsidR="009920E7" w:rsidRPr="00FD545E" w14:paraId="05672466" w14:textId="77777777" w:rsidTr="001E3338">
        <w:tc>
          <w:tcPr>
            <w:tcW w:w="0" w:type="auto"/>
            <w:shd w:val="clear" w:color="auto" w:fill="F2F6FA"/>
          </w:tcPr>
          <w:p w14:paraId="324E8D6F" w14:textId="3EF1B6C0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r w:rsidR="00A536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536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shd w:val="clear" w:color="auto" w:fill="F2F6FA"/>
          </w:tcPr>
          <w:p w14:paraId="0A94B16C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Number of bank products held</w:t>
            </w:r>
          </w:p>
        </w:tc>
      </w:tr>
      <w:tr w:rsidR="009920E7" w:rsidRPr="00FD545E" w14:paraId="77760B89" w14:textId="77777777" w:rsidTr="001E3338">
        <w:tc>
          <w:tcPr>
            <w:tcW w:w="0" w:type="auto"/>
            <w:shd w:val="clear" w:color="auto" w:fill="FFFFFF"/>
          </w:tcPr>
          <w:p w14:paraId="60EC1E51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HasCrCard</w:t>
            </w:r>
          </w:p>
        </w:tc>
        <w:tc>
          <w:tcPr>
            <w:tcW w:w="0" w:type="auto"/>
            <w:shd w:val="clear" w:color="auto" w:fill="FFFFFF"/>
          </w:tcPr>
          <w:p w14:paraId="5D53EB48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Credit card ownership</w:t>
            </w:r>
          </w:p>
        </w:tc>
      </w:tr>
      <w:tr w:rsidR="009920E7" w:rsidRPr="00FD545E" w14:paraId="41FB39B2" w14:textId="77777777" w:rsidTr="001E3338">
        <w:tc>
          <w:tcPr>
            <w:tcW w:w="0" w:type="auto"/>
            <w:shd w:val="clear" w:color="auto" w:fill="F2F6FA"/>
          </w:tcPr>
          <w:p w14:paraId="06A57392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IsActiveMember</w:t>
            </w:r>
          </w:p>
        </w:tc>
        <w:tc>
          <w:tcPr>
            <w:tcW w:w="0" w:type="auto"/>
            <w:shd w:val="clear" w:color="auto" w:fill="F2F6FA"/>
          </w:tcPr>
          <w:p w14:paraId="144F51A1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Activity indicator</w:t>
            </w:r>
          </w:p>
        </w:tc>
      </w:tr>
      <w:tr w:rsidR="009920E7" w:rsidRPr="00FD545E" w14:paraId="4A8114C1" w14:textId="77777777" w:rsidTr="001E3338">
        <w:tc>
          <w:tcPr>
            <w:tcW w:w="0" w:type="auto"/>
            <w:shd w:val="clear" w:color="auto" w:fill="FFFFFF"/>
          </w:tcPr>
          <w:p w14:paraId="5DE141F2" w14:textId="4D78A955" w:rsidR="009920E7" w:rsidRPr="00300FAF" w:rsidRDefault="00A536AD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Estimated Salary</w:t>
            </w:r>
          </w:p>
        </w:tc>
        <w:tc>
          <w:tcPr>
            <w:tcW w:w="0" w:type="auto"/>
            <w:shd w:val="clear" w:color="auto" w:fill="FFFFFF"/>
          </w:tcPr>
          <w:p w14:paraId="25ABCA6A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Estimated annual salary</w:t>
            </w:r>
          </w:p>
        </w:tc>
      </w:tr>
      <w:tr w:rsidR="009920E7" w:rsidRPr="00FD545E" w14:paraId="339B4163" w14:textId="77777777" w:rsidTr="001E3338">
        <w:tc>
          <w:tcPr>
            <w:tcW w:w="0" w:type="auto"/>
            <w:shd w:val="clear" w:color="auto" w:fill="F2F6FA"/>
          </w:tcPr>
          <w:p w14:paraId="55061E8E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Exited</w:t>
            </w:r>
          </w:p>
        </w:tc>
        <w:tc>
          <w:tcPr>
            <w:tcW w:w="0" w:type="auto"/>
            <w:shd w:val="clear" w:color="auto" w:fill="F2F6FA"/>
          </w:tcPr>
          <w:p w14:paraId="66CF23BF" w14:textId="77777777" w:rsidR="009920E7" w:rsidRPr="00300FAF" w:rsidRDefault="009920E7" w:rsidP="001E3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FAF">
              <w:rPr>
                <w:rFonts w:ascii="Times New Roman" w:hAnsi="Times New Roman" w:cs="Times New Roman"/>
                <w:sz w:val="24"/>
                <w:szCs w:val="24"/>
              </w:rPr>
              <w:t>Churn indicator (target)</w:t>
            </w:r>
          </w:p>
        </w:tc>
      </w:tr>
    </w:tbl>
    <w:p w14:paraId="66283520" w14:textId="5CCDDCB8" w:rsidR="009920E7" w:rsidRPr="008453AA" w:rsidRDefault="009920E7" w:rsidP="009920E7">
      <w:pPr>
        <w:spacing w:before="200" w:after="160"/>
        <w:rPr>
          <w:sz w:val="24"/>
          <w:szCs w:val="24"/>
        </w:rPr>
      </w:pPr>
      <w:r w:rsidRPr="008453AA">
        <w:rPr>
          <w:b/>
          <w:bCs/>
          <w:sz w:val="24"/>
          <w:szCs w:val="24"/>
        </w:rPr>
        <w:t>Overall churn rate: 20.37% (2,037 of 10,000 customers exited).</w:t>
      </w:r>
    </w:p>
    <w:p w14:paraId="00F43B2C" w14:textId="77777777" w:rsidR="009920E7" w:rsidRDefault="009920E7" w:rsidP="009920E7">
      <w:pPr>
        <w:pStyle w:val="Heading1"/>
        <w:spacing w:before="320" w:after="160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2623F6">
        <w:rPr>
          <w:rFonts w:ascii="Times New Roman" w:hAnsi="Times New Roman" w:cs="Times New Roman"/>
          <w:b/>
          <w:bCs/>
          <w:color w:val="262626" w:themeColor="text1" w:themeTint="D9"/>
        </w:rPr>
        <w:lastRenderedPageBreak/>
        <w:t>3. Analytical Methodology</w:t>
      </w:r>
    </w:p>
    <w:p w14:paraId="5618901F" w14:textId="77777777" w:rsidR="002623F6" w:rsidRPr="002623F6" w:rsidRDefault="002623F6" w:rsidP="002623F6"/>
    <w:p w14:paraId="348EAB8D" w14:textId="77777777" w:rsidR="009920E7" w:rsidRPr="002623F6" w:rsidRDefault="009920E7" w:rsidP="009920E7">
      <w:pPr>
        <w:pStyle w:val="Heading2"/>
        <w:spacing w:before="240" w:after="120"/>
        <w:rPr>
          <w:rFonts w:ascii="Times New Roman" w:hAnsi="Times New Roman" w:cs="Times New Roman"/>
          <w:color w:val="262626" w:themeColor="text1" w:themeTint="D9"/>
          <w:sz w:val="36"/>
          <w:szCs w:val="36"/>
        </w:rPr>
      </w:pPr>
      <w:r w:rsidRPr="002623F6">
        <w:rPr>
          <w:rFonts w:ascii="Times New Roman" w:hAnsi="Times New Roman" w:cs="Times New Roman"/>
          <w:color w:val="262626" w:themeColor="text1" w:themeTint="D9"/>
          <w:sz w:val="36"/>
          <w:szCs w:val="36"/>
        </w:rPr>
        <w:t>3.1 Data Ingestion &amp; Validation</w:t>
      </w:r>
    </w:p>
    <w:p w14:paraId="379C4A90" w14:textId="3B3ABF9E" w:rsidR="002623F6" w:rsidRDefault="00A43C06" w:rsidP="00291432">
      <w:pPr>
        <w:spacing w:after="160" w:line="276" w:lineRule="auto"/>
        <w:rPr>
          <w:sz w:val="24"/>
          <w:szCs w:val="24"/>
        </w:rPr>
      </w:pPr>
      <w:r w:rsidRPr="00A43C06">
        <w:rPr>
          <w:sz w:val="24"/>
          <w:szCs w:val="24"/>
        </w:rPr>
        <w:t>Data set was imported and checked for completeness, consistency of binary fields and accuracy of churn labels. There were no records to delete.</w:t>
      </w:r>
    </w:p>
    <w:p w14:paraId="2CDBCCC9" w14:textId="77777777" w:rsidR="009920E7" w:rsidRPr="002623F6" w:rsidRDefault="009920E7" w:rsidP="009920E7">
      <w:pPr>
        <w:pStyle w:val="Heading2"/>
        <w:spacing w:before="240" w:after="120"/>
        <w:rPr>
          <w:color w:val="262626" w:themeColor="text1" w:themeTint="D9"/>
          <w:sz w:val="36"/>
          <w:szCs w:val="36"/>
        </w:rPr>
      </w:pPr>
      <w:r w:rsidRPr="002623F6">
        <w:rPr>
          <w:color w:val="262626" w:themeColor="text1" w:themeTint="D9"/>
          <w:sz w:val="36"/>
          <w:szCs w:val="36"/>
        </w:rPr>
        <w:t>3.2 Engagement Classification</w:t>
      </w:r>
    </w:p>
    <w:p w14:paraId="67B1039C" w14:textId="7136CE4F" w:rsidR="00A43C06" w:rsidRDefault="00A43C06" w:rsidP="00A43C06">
      <w:pPr>
        <w:spacing w:after="80"/>
        <w:rPr>
          <w:sz w:val="24"/>
          <w:szCs w:val="24"/>
        </w:rPr>
      </w:pPr>
      <w:r w:rsidRPr="00A43C06">
        <w:rPr>
          <w:sz w:val="24"/>
          <w:szCs w:val="24"/>
        </w:rPr>
        <w:t>To create four engagement profiles, we combined customer's activity status, number of products and balance tier:</w:t>
      </w:r>
    </w:p>
    <w:p w14:paraId="3465B7E5" w14:textId="77777777" w:rsidR="00A43C06" w:rsidRPr="00A43C06" w:rsidRDefault="00A43C06" w:rsidP="00A43C06">
      <w:pPr>
        <w:spacing w:after="80"/>
        <w:rPr>
          <w:sz w:val="24"/>
          <w:szCs w:val="24"/>
        </w:rPr>
      </w:pPr>
    </w:p>
    <w:p w14:paraId="33E31D88" w14:textId="04CF452D" w:rsidR="00A43C06" w:rsidRPr="00A43C06" w:rsidRDefault="00A43C06" w:rsidP="00A43C06">
      <w:pPr>
        <w:pStyle w:val="ListParagraph"/>
        <w:numPr>
          <w:ilvl w:val="0"/>
          <w:numId w:val="16"/>
        </w:numPr>
        <w:spacing w:after="80" w:line="360" w:lineRule="auto"/>
        <w:rPr>
          <w:sz w:val="24"/>
          <w:szCs w:val="24"/>
        </w:rPr>
      </w:pPr>
      <w:r w:rsidRPr="00A43C06">
        <w:rPr>
          <w:b/>
          <w:bCs/>
          <w:sz w:val="24"/>
          <w:szCs w:val="24"/>
        </w:rPr>
        <w:t>Active Engaged</w:t>
      </w:r>
      <w:r w:rsidRPr="00A43C06">
        <w:rPr>
          <w:sz w:val="24"/>
          <w:szCs w:val="24"/>
        </w:rPr>
        <w:t xml:space="preserve"> – a member who is actively engaged with 2 or more products</w:t>
      </w:r>
    </w:p>
    <w:p w14:paraId="6F1BD3C9" w14:textId="20BD04B4" w:rsidR="00A43C06" w:rsidRPr="00A43C06" w:rsidRDefault="00A43C06" w:rsidP="00A43C06">
      <w:pPr>
        <w:pStyle w:val="ListParagraph"/>
        <w:numPr>
          <w:ilvl w:val="0"/>
          <w:numId w:val="16"/>
        </w:numPr>
        <w:spacing w:after="80" w:line="360" w:lineRule="auto"/>
        <w:rPr>
          <w:sz w:val="24"/>
          <w:szCs w:val="24"/>
        </w:rPr>
      </w:pPr>
      <w:r w:rsidRPr="00A43C06">
        <w:rPr>
          <w:b/>
          <w:bCs/>
          <w:sz w:val="24"/>
          <w:szCs w:val="24"/>
        </w:rPr>
        <w:t>Active but Low-Product</w:t>
      </w:r>
      <w:r w:rsidRPr="00A43C06">
        <w:rPr>
          <w:sz w:val="24"/>
          <w:szCs w:val="24"/>
        </w:rPr>
        <w:t xml:space="preserve"> – an active member with only one product</w:t>
      </w:r>
    </w:p>
    <w:p w14:paraId="10C07B15" w14:textId="1D7ADCC6" w:rsidR="00A43C06" w:rsidRPr="00A43C06" w:rsidRDefault="00A43C06" w:rsidP="00A43C06">
      <w:pPr>
        <w:pStyle w:val="ListParagraph"/>
        <w:numPr>
          <w:ilvl w:val="0"/>
          <w:numId w:val="16"/>
        </w:numPr>
        <w:spacing w:after="80" w:line="360" w:lineRule="auto"/>
        <w:rPr>
          <w:sz w:val="24"/>
          <w:szCs w:val="24"/>
        </w:rPr>
      </w:pPr>
      <w:r w:rsidRPr="00A43C06">
        <w:rPr>
          <w:b/>
          <w:bCs/>
          <w:sz w:val="24"/>
          <w:szCs w:val="24"/>
        </w:rPr>
        <w:t>Inactive Disengaged</w:t>
      </w:r>
      <w:r w:rsidRPr="00A43C06">
        <w:rPr>
          <w:sz w:val="24"/>
          <w:szCs w:val="24"/>
        </w:rPr>
        <w:t xml:space="preserve"> — inactive member with balance below top quartile</w:t>
      </w:r>
    </w:p>
    <w:p w14:paraId="494F6FCC" w14:textId="428EBA2B" w:rsidR="0069524C" w:rsidRPr="00A43C06" w:rsidRDefault="00A43C06" w:rsidP="00A43C06">
      <w:pPr>
        <w:pStyle w:val="ListParagraph"/>
        <w:numPr>
          <w:ilvl w:val="0"/>
          <w:numId w:val="16"/>
        </w:numPr>
        <w:spacing w:after="80" w:line="360" w:lineRule="auto"/>
        <w:rPr>
          <w:sz w:val="24"/>
          <w:szCs w:val="24"/>
        </w:rPr>
      </w:pPr>
      <w:r w:rsidRPr="00A43C06">
        <w:rPr>
          <w:b/>
          <w:bCs/>
          <w:sz w:val="24"/>
          <w:szCs w:val="24"/>
        </w:rPr>
        <w:t>High-Balance Inactive</w:t>
      </w:r>
      <w:r w:rsidRPr="00A43C06">
        <w:rPr>
          <w:sz w:val="24"/>
          <w:szCs w:val="24"/>
        </w:rPr>
        <w:t xml:space="preserve"> – an inactive member with a balance in the top quartile (≥ 75th percentile).</w:t>
      </w:r>
    </w:p>
    <w:p w14:paraId="3EAF0D20" w14:textId="77777777" w:rsidR="009920E7" w:rsidRPr="002623F6" w:rsidRDefault="009920E7" w:rsidP="009920E7">
      <w:pPr>
        <w:pStyle w:val="Heading2"/>
        <w:spacing w:before="240" w:after="120"/>
        <w:rPr>
          <w:color w:val="262626" w:themeColor="text1" w:themeTint="D9"/>
          <w:sz w:val="36"/>
          <w:szCs w:val="36"/>
        </w:rPr>
      </w:pPr>
      <w:r w:rsidRPr="002623F6">
        <w:rPr>
          <w:color w:val="262626" w:themeColor="text1" w:themeTint="D9"/>
          <w:sz w:val="36"/>
          <w:szCs w:val="36"/>
        </w:rPr>
        <w:t>3.3 Product Utilization Analysis</w:t>
      </w:r>
    </w:p>
    <w:p w14:paraId="6FC5D1FC" w14:textId="3FBBDFA3" w:rsidR="0069524C" w:rsidRDefault="00A43C06" w:rsidP="00291432">
      <w:pPr>
        <w:spacing w:after="160" w:line="276" w:lineRule="auto"/>
      </w:pPr>
      <w:r w:rsidRPr="00A43C06">
        <w:rPr>
          <w:sz w:val="24"/>
          <w:szCs w:val="24"/>
        </w:rPr>
        <w:t>The churn was measured for single product holders vs. multi product holders and product counts from 1 to 4.</w:t>
      </w:r>
    </w:p>
    <w:p w14:paraId="337D8A85" w14:textId="77777777" w:rsidR="009920E7" w:rsidRPr="002623F6" w:rsidRDefault="009920E7" w:rsidP="009920E7">
      <w:pPr>
        <w:pStyle w:val="Heading2"/>
        <w:spacing w:before="240" w:after="120"/>
        <w:rPr>
          <w:color w:val="262626" w:themeColor="text1" w:themeTint="D9"/>
          <w:sz w:val="36"/>
          <w:szCs w:val="36"/>
        </w:rPr>
      </w:pPr>
      <w:r w:rsidRPr="002623F6">
        <w:rPr>
          <w:color w:val="262626" w:themeColor="text1" w:themeTint="D9"/>
          <w:sz w:val="36"/>
          <w:szCs w:val="36"/>
        </w:rPr>
        <w:t>3.4 Financial Commitment vs. Engagement Analysis</w:t>
      </w:r>
    </w:p>
    <w:p w14:paraId="5CE27915" w14:textId="162B3212" w:rsidR="006810FC" w:rsidRPr="006810FC" w:rsidRDefault="00A43C06" w:rsidP="00291432">
      <w:pPr>
        <w:spacing w:after="160" w:line="276" w:lineRule="auto"/>
        <w:rPr>
          <w:sz w:val="24"/>
          <w:szCs w:val="24"/>
        </w:rPr>
      </w:pPr>
      <w:r w:rsidRPr="00A43C06">
        <w:rPr>
          <w:sz w:val="24"/>
          <w:szCs w:val="24"/>
        </w:rPr>
        <w:t>Cross-analysis of balance and activity status was performed to identify salary–balance mismatches and to identify at-risk premium customers, defined as inactive members with matching balances in the top quartile.</w:t>
      </w:r>
    </w:p>
    <w:p w14:paraId="63C04D7D" w14:textId="77777777" w:rsidR="009920E7" w:rsidRDefault="009920E7" w:rsidP="009920E7">
      <w:pPr>
        <w:pStyle w:val="Heading2"/>
        <w:spacing w:before="240" w:after="120"/>
      </w:pPr>
      <w:r w:rsidRPr="002623F6">
        <w:rPr>
          <w:color w:val="262626" w:themeColor="text1" w:themeTint="D9"/>
          <w:sz w:val="36"/>
          <w:szCs w:val="36"/>
        </w:rPr>
        <w:t>3.5 Retention Strength Assessment</w:t>
      </w:r>
    </w:p>
    <w:p w14:paraId="4F427B1E" w14:textId="77777777" w:rsidR="00A43C06" w:rsidRDefault="00A43C06" w:rsidP="00291432">
      <w:pPr>
        <w:pStyle w:val="Heading1"/>
        <w:spacing w:before="320" w:after="160" w:line="276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A43C06">
        <w:rPr>
          <w:rFonts w:ascii="Calibri" w:eastAsia="Calibri" w:hAnsi="Calibri" w:cs="Calibri"/>
          <w:color w:val="auto"/>
          <w:sz w:val="24"/>
          <w:szCs w:val="24"/>
        </w:rPr>
        <w:t>To check if the combined depth of relationships is a better predictor of retention than any individual factor, a composite Relationship Strength Index (RSI) was derived by combining the activity status, product count and credit card ownership with weights of 0.4, 0.4 and 0.2 respectively.</w:t>
      </w:r>
    </w:p>
    <w:p w14:paraId="1B702DD7" w14:textId="77777777" w:rsidR="00A43C06" w:rsidRDefault="00A43C06" w:rsidP="009920E7">
      <w:pPr>
        <w:pStyle w:val="Heading1"/>
        <w:spacing w:before="320" w:after="160"/>
        <w:rPr>
          <w:rFonts w:ascii="Calibri" w:eastAsia="Calibri" w:hAnsi="Calibri" w:cs="Calibri"/>
          <w:color w:val="auto"/>
          <w:sz w:val="24"/>
          <w:szCs w:val="24"/>
        </w:rPr>
      </w:pPr>
    </w:p>
    <w:p w14:paraId="15972ED0" w14:textId="77777777" w:rsidR="00A43C06" w:rsidRDefault="00A43C06" w:rsidP="009920E7">
      <w:pPr>
        <w:pStyle w:val="Heading1"/>
        <w:spacing w:before="320" w:after="160"/>
        <w:rPr>
          <w:rFonts w:ascii="Calibri" w:eastAsia="Calibri" w:hAnsi="Calibri" w:cs="Calibri"/>
          <w:color w:val="auto"/>
          <w:sz w:val="24"/>
          <w:szCs w:val="24"/>
        </w:rPr>
      </w:pPr>
    </w:p>
    <w:p w14:paraId="6E8543B6" w14:textId="77777777" w:rsidR="00E84BF8" w:rsidRPr="00E84BF8" w:rsidRDefault="00E84BF8" w:rsidP="00E84BF8"/>
    <w:p w14:paraId="6FE57862" w14:textId="63EB8F91" w:rsidR="009920E7" w:rsidRDefault="009920E7" w:rsidP="009920E7">
      <w:pPr>
        <w:pStyle w:val="Heading1"/>
        <w:spacing w:before="320" w:after="160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69524C">
        <w:rPr>
          <w:rFonts w:ascii="Times New Roman" w:hAnsi="Times New Roman" w:cs="Times New Roman"/>
          <w:b/>
          <w:bCs/>
          <w:color w:val="262626" w:themeColor="text1" w:themeTint="D9"/>
        </w:rPr>
        <w:lastRenderedPageBreak/>
        <w:t>4. Findings</w:t>
      </w:r>
    </w:p>
    <w:p w14:paraId="0AB316AE" w14:textId="77777777" w:rsidR="001013DD" w:rsidRPr="001013DD" w:rsidRDefault="001013DD" w:rsidP="001013DD"/>
    <w:p w14:paraId="5CD7DCEE" w14:textId="5F87FE95" w:rsidR="009920E7" w:rsidRDefault="009920E7" w:rsidP="0067594B">
      <w:pPr>
        <w:pStyle w:val="Heading2"/>
        <w:spacing w:before="240" w:after="120"/>
        <w:rPr>
          <w:rFonts w:ascii="Times New Roman" w:hAnsi="Times New Roman" w:cs="Times New Roman"/>
          <w:color w:val="262626" w:themeColor="text1" w:themeTint="D9"/>
          <w:sz w:val="36"/>
          <w:szCs w:val="36"/>
        </w:rPr>
      </w:pPr>
      <w:r w:rsidRPr="001013DD">
        <w:rPr>
          <w:rFonts w:ascii="Times New Roman" w:hAnsi="Times New Roman" w:cs="Times New Roman"/>
          <w:color w:val="262626" w:themeColor="text1" w:themeTint="D9"/>
          <w:sz w:val="36"/>
          <w:szCs w:val="36"/>
        </w:rPr>
        <w:t>4.1 Engagement Drives Churn More Than Product Count Alone</w:t>
      </w:r>
    </w:p>
    <w:p w14:paraId="40E4ECA9" w14:textId="77777777" w:rsidR="00322001" w:rsidRDefault="00322001" w:rsidP="00322001"/>
    <w:p w14:paraId="2C64D6ED" w14:textId="77777777" w:rsidR="00322001" w:rsidRPr="00322001" w:rsidRDefault="00322001" w:rsidP="00322001"/>
    <w:p w14:paraId="1C27296C" w14:textId="77777777" w:rsidR="0067594B" w:rsidRPr="0067594B" w:rsidRDefault="0067594B" w:rsidP="0067594B"/>
    <w:p w14:paraId="604376D1" w14:textId="2555D1B7" w:rsidR="009920E7" w:rsidRDefault="009920E7" w:rsidP="009920E7">
      <w:pPr>
        <w:spacing w:after="24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Figure 1: Churn rate </w:t>
      </w:r>
      <w:r w:rsidR="00142D95">
        <w:rPr>
          <w:noProof/>
        </w:rPr>
        <w:drawing>
          <wp:inline distT="0" distB="0" distL="0" distR="0" wp14:anchorId="685B277B" wp14:editId="11B70E5D">
            <wp:extent cx="5737860" cy="3116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59" cy="31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95959"/>
          <w:sz w:val="20"/>
          <w:szCs w:val="20"/>
        </w:rPr>
        <w:t>by engagement profile</w:t>
      </w:r>
    </w:p>
    <w:p w14:paraId="58AF3DDC" w14:textId="77777777" w:rsidR="00E423A7" w:rsidRDefault="00E423A7" w:rsidP="009920E7">
      <w:pPr>
        <w:spacing w:after="160"/>
      </w:pPr>
    </w:p>
    <w:p w14:paraId="5C7A18A7" w14:textId="3198DF6B" w:rsidR="0067594B" w:rsidRDefault="00A43C06" w:rsidP="00291432">
      <w:pPr>
        <w:spacing w:after="160" w:line="276" w:lineRule="auto"/>
      </w:pPr>
      <w:r w:rsidRPr="00A43C06">
        <w:rPr>
          <w:sz w:val="24"/>
          <w:szCs w:val="24"/>
        </w:rPr>
        <w:t>The churn rate of Active Engaged customers is only 9.7% and the churn rates of Inactive Disengaged customers and Inactive High-Balance customers are 25.6% and 30.5% respectively. This difference is more than three times the difference for Inactive Disengaged customers and is primarily driven by activity status rather than wealth.</w:t>
      </w:r>
    </w:p>
    <w:p w14:paraId="3E83C73A" w14:textId="77777777" w:rsidR="0067594B" w:rsidRDefault="0067594B" w:rsidP="009920E7">
      <w:pPr>
        <w:spacing w:after="160"/>
      </w:pPr>
    </w:p>
    <w:p w14:paraId="7C6E227C" w14:textId="77777777" w:rsidR="0067594B" w:rsidRDefault="0067594B" w:rsidP="009920E7">
      <w:pPr>
        <w:spacing w:after="160"/>
      </w:pPr>
    </w:p>
    <w:p w14:paraId="06E3E91E" w14:textId="77777777" w:rsidR="0067594B" w:rsidRDefault="0067594B" w:rsidP="009920E7">
      <w:pPr>
        <w:spacing w:after="160"/>
      </w:pPr>
    </w:p>
    <w:p w14:paraId="03890F59" w14:textId="77777777" w:rsidR="0067594B" w:rsidRDefault="0067594B" w:rsidP="009920E7">
      <w:pPr>
        <w:spacing w:after="160"/>
      </w:pPr>
    </w:p>
    <w:p w14:paraId="268D2DE8" w14:textId="77777777" w:rsidR="0041454F" w:rsidRDefault="0041454F" w:rsidP="009920E7">
      <w:pPr>
        <w:spacing w:after="160"/>
      </w:pPr>
    </w:p>
    <w:p w14:paraId="6B0A9DBD" w14:textId="77777777" w:rsidR="00A43C06" w:rsidRDefault="00A43C06" w:rsidP="009920E7">
      <w:pPr>
        <w:spacing w:after="160"/>
      </w:pPr>
    </w:p>
    <w:p w14:paraId="79118ED1" w14:textId="445359A6" w:rsidR="009920E7" w:rsidRDefault="009920E7" w:rsidP="009920E7">
      <w:pPr>
        <w:pStyle w:val="Heading2"/>
        <w:spacing w:before="240" w:after="120"/>
        <w:rPr>
          <w:rFonts w:ascii="Times New Roman" w:hAnsi="Times New Roman" w:cs="Times New Roman"/>
          <w:color w:val="262626" w:themeColor="text1" w:themeTint="D9"/>
          <w:sz w:val="36"/>
          <w:szCs w:val="36"/>
        </w:rPr>
      </w:pPr>
      <w:r w:rsidRPr="001013DD">
        <w:rPr>
          <w:rFonts w:ascii="Times New Roman" w:hAnsi="Times New Roman" w:cs="Times New Roman"/>
          <w:color w:val="262626" w:themeColor="text1" w:themeTint="D9"/>
          <w:sz w:val="36"/>
          <w:szCs w:val="36"/>
        </w:rPr>
        <w:lastRenderedPageBreak/>
        <w:t>4.2 Product Depth Has a Non-Linear, Not Purely Positive, Effect on Retention</w:t>
      </w:r>
    </w:p>
    <w:p w14:paraId="5F498944" w14:textId="77777777" w:rsidR="00D913D7" w:rsidRPr="00D913D7" w:rsidRDefault="00D913D7" w:rsidP="00D913D7"/>
    <w:p w14:paraId="1AC75E49" w14:textId="77777777" w:rsidR="001013DD" w:rsidRPr="001013DD" w:rsidRDefault="001013DD" w:rsidP="001013DD"/>
    <w:p w14:paraId="44C2BFD9" w14:textId="77777777" w:rsidR="001013DD" w:rsidRPr="001013DD" w:rsidRDefault="001013DD" w:rsidP="001013DD"/>
    <w:p w14:paraId="2DA94B9B" w14:textId="77777777" w:rsidR="00142D95" w:rsidRPr="00142D95" w:rsidRDefault="00142D95" w:rsidP="00142D95"/>
    <w:p w14:paraId="31A0D6BF" w14:textId="77777777" w:rsidR="009920E7" w:rsidRDefault="009920E7" w:rsidP="009920E7">
      <w:pPr>
        <w:spacing w:after="200"/>
        <w:jc w:val="center"/>
      </w:pPr>
      <w:r>
        <w:rPr>
          <w:noProof/>
        </w:rPr>
        <w:drawing>
          <wp:inline distT="0" distB="0" distL="0" distR="0" wp14:anchorId="7C9E5F8A" wp14:editId="20A7A208">
            <wp:extent cx="5464175" cy="3390900"/>
            <wp:effectExtent l="0" t="0" r="3175" b="0"/>
            <wp:docPr id="1305135749" name="Picture 130513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453" cy="341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29BE" w14:textId="77777777" w:rsidR="009920E7" w:rsidRDefault="009920E7" w:rsidP="009920E7">
      <w:pPr>
        <w:spacing w:after="24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 2: Churn rate by number of products held</w:t>
      </w:r>
    </w:p>
    <w:p w14:paraId="03F34563" w14:textId="77777777" w:rsidR="007243F4" w:rsidRDefault="007243F4" w:rsidP="00F501C8">
      <w:pPr>
        <w:spacing w:after="240"/>
        <w:rPr>
          <w:i/>
          <w:iCs/>
          <w:color w:val="595959"/>
          <w:sz w:val="20"/>
          <w:szCs w:val="20"/>
        </w:rPr>
      </w:pPr>
    </w:p>
    <w:p w14:paraId="386DF784" w14:textId="77777777" w:rsidR="00A43C06" w:rsidRPr="00A43C06" w:rsidRDefault="00A43C06" w:rsidP="00291432">
      <w:pPr>
        <w:spacing w:after="160" w:line="276" w:lineRule="auto"/>
        <w:rPr>
          <w:sz w:val="24"/>
          <w:szCs w:val="24"/>
        </w:rPr>
      </w:pPr>
      <w:r w:rsidRPr="00A43C06">
        <w:rPr>
          <w:sz w:val="24"/>
          <w:szCs w:val="24"/>
        </w:rPr>
        <w:t>Product depth is moderately strong, supporting the relationship with the lowest churn (7.6%) for customers with exactly two products. However, the churn rate is much higher for customers with three products (82.7%) and is 100% for the small number of customers with four products. This data set directly contradicts the assumption that “more products always mean more loyalty.” It suggests that over-concentration in 3-4 products is a distinct high-risk segment, not simply cross-sell success, and deserves further investigation as to whether these accounts are indicative of forced bundling, dissatisfaction after a failed multi-product relationship, or a life-stage/attrition pattern (this group also skews older, with an average age of ~43-46 vs. 38 for 1-2 product holders).</w:t>
      </w:r>
    </w:p>
    <w:p w14:paraId="53FC4718" w14:textId="07A7A6F7" w:rsidR="009920E7" w:rsidRPr="00D82B24" w:rsidRDefault="00A43C06" w:rsidP="00291432">
      <w:pPr>
        <w:spacing w:after="160" w:line="276" w:lineRule="auto"/>
        <w:rPr>
          <w:sz w:val="24"/>
          <w:szCs w:val="24"/>
        </w:rPr>
      </w:pPr>
      <w:r w:rsidRPr="00A43C06">
        <w:rPr>
          <w:sz w:val="24"/>
          <w:szCs w:val="24"/>
        </w:rPr>
        <w:t>Single product customers churn at 27.7% vs. 12.8% for multi-product (2+) customers. This difference indicates the significance of product depth but the relationship peaks at two products rather than</w:t>
      </w:r>
      <w:r w:rsidR="00C67A6F">
        <w:rPr>
          <w:sz w:val="24"/>
          <w:szCs w:val="24"/>
        </w:rPr>
        <w:t xml:space="preserve"> </w:t>
      </w:r>
      <w:r w:rsidR="009920E7" w:rsidRPr="00D82B24">
        <w:rPr>
          <w:sz w:val="24"/>
          <w:szCs w:val="24"/>
        </w:rPr>
        <w:t>increasing indefinitely.</w:t>
      </w:r>
    </w:p>
    <w:p w14:paraId="7FDB3CDC" w14:textId="77777777" w:rsidR="0067594B" w:rsidRDefault="0067594B" w:rsidP="009920E7">
      <w:pPr>
        <w:spacing w:after="160"/>
      </w:pPr>
    </w:p>
    <w:p w14:paraId="2A74AA4B" w14:textId="77777777" w:rsidR="005F5FEE" w:rsidRDefault="005F5FEE" w:rsidP="009920E7">
      <w:pPr>
        <w:spacing w:after="160"/>
      </w:pPr>
    </w:p>
    <w:p w14:paraId="1040523E" w14:textId="1B66595B" w:rsidR="009920E7" w:rsidRPr="001013DD" w:rsidRDefault="009920E7" w:rsidP="009920E7">
      <w:pPr>
        <w:pStyle w:val="Heading2"/>
        <w:spacing w:before="240" w:after="120"/>
        <w:rPr>
          <w:rFonts w:ascii="Times New Roman" w:hAnsi="Times New Roman" w:cs="Times New Roman"/>
          <w:color w:val="262626" w:themeColor="text1" w:themeTint="D9"/>
          <w:sz w:val="40"/>
          <w:szCs w:val="40"/>
        </w:rPr>
      </w:pPr>
      <w:r w:rsidRPr="001013DD">
        <w:rPr>
          <w:rFonts w:ascii="Times New Roman" w:hAnsi="Times New Roman" w:cs="Times New Roman"/>
          <w:color w:val="262626" w:themeColor="text1" w:themeTint="D9"/>
          <w:sz w:val="40"/>
          <w:szCs w:val="40"/>
        </w:rPr>
        <w:lastRenderedPageBreak/>
        <w:t xml:space="preserve">4.3 Activity Status Is the Strongest </w:t>
      </w:r>
      <w:r w:rsidR="00A536AD" w:rsidRPr="001013DD">
        <w:rPr>
          <w:rFonts w:ascii="Times New Roman" w:hAnsi="Times New Roman" w:cs="Times New Roman"/>
          <w:color w:val="262626" w:themeColor="text1" w:themeTint="D9"/>
          <w:sz w:val="40"/>
          <w:szCs w:val="40"/>
        </w:rPr>
        <w:t>Behavioural</w:t>
      </w:r>
      <w:r w:rsidRPr="001013DD">
        <w:rPr>
          <w:rFonts w:ascii="Times New Roman" w:hAnsi="Times New Roman" w:cs="Times New Roman"/>
          <w:color w:val="262626" w:themeColor="text1" w:themeTint="D9"/>
          <w:sz w:val="40"/>
          <w:szCs w:val="40"/>
        </w:rPr>
        <w:t xml:space="preserve"> Predictor</w:t>
      </w:r>
    </w:p>
    <w:p w14:paraId="79530E3E" w14:textId="77777777" w:rsidR="001013DD" w:rsidRPr="001013DD" w:rsidRDefault="001013DD" w:rsidP="001013DD">
      <w:pPr>
        <w:rPr>
          <w:rFonts w:ascii="Times New Roman" w:hAnsi="Times New Roman" w:cs="Times New Roman"/>
          <w:sz w:val="24"/>
          <w:szCs w:val="24"/>
        </w:rPr>
      </w:pPr>
    </w:p>
    <w:p w14:paraId="45CC9CB3" w14:textId="77777777" w:rsidR="001013DD" w:rsidRPr="001013DD" w:rsidRDefault="001013DD" w:rsidP="001013DD"/>
    <w:p w14:paraId="7A7FB9B0" w14:textId="77777777" w:rsidR="005F5FEE" w:rsidRPr="005F5FEE" w:rsidRDefault="005F5FEE" w:rsidP="005F5FEE"/>
    <w:p w14:paraId="0E9FC4EE" w14:textId="77777777" w:rsidR="009920E7" w:rsidRDefault="009920E7" w:rsidP="009920E7">
      <w:pPr>
        <w:spacing w:after="200"/>
        <w:jc w:val="center"/>
      </w:pPr>
      <w:r>
        <w:rPr>
          <w:noProof/>
        </w:rPr>
        <w:drawing>
          <wp:inline distT="0" distB="0" distL="0" distR="0" wp14:anchorId="1C159D06" wp14:editId="4202F27E">
            <wp:extent cx="5547360" cy="3589020"/>
            <wp:effectExtent l="0" t="0" r="0" b="0"/>
            <wp:docPr id="385384852" name="Picture 385384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674" cy="35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9EFA" w14:textId="77777777" w:rsidR="009920E7" w:rsidRDefault="009920E7" w:rsidP="009920E7">
      <w:pPr>
        <w:spacing w:after="24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 3: Churn rate — active vs. inactive members</w:t>
      </w:r>
    </w:p>
    <w:p w14:paraId="06F5FDCB" w14:textId="77777777" w:rsidR="00322001" w:rsidRDefault="00322001" w:rsidP="00291432">
      <w:pPr>
        <w:spacing w:after="240"/>
        <w:rPr>
          <w:i/>
          <w:iCs/>
          <w:color w:val="595959"/>
          <w:sz w:val="20"/>
          <w:szCs w:val="20"/>
        </w:rPr>
      </w:pPr>
    </w:p>
    <w:p w14:paraId="7F110E86" w14:textId="319264F9" w:rsidR="005F5FEE" w:rsidRPr="00D82B24" w:rsidRDefault="00322001" w:rsidP="00291432">
      <w:pPr>
        <w:spacing w:after="160" w:line="276" w:lineRule="auto"/>
        <w:rPr>
          <w:sz w:val="24"/>
          <w:szCs w:val="24"/>
        </w:rPr>
      </w:pPr>
      <w:r w:rsidRPr="00322001">
        <w:rPr>
          <w:sz w:val="24"/>
          <w:szCs w:val="24"/>
        </w:rPr>
        <w:t>Inactive members churn at 26.9% compared to 14.3% for active members.  Interestingly, the average balance across both groups is almost the same (₹77,134 inactive vs ₹75,875 active). This corroborates the fact that balance is not a proxy for engagement or loyalty – an echo of the project’s underlying hypothesis.</w:t>
      </w:r>
    </w:p>
    <w:p w14:paraId="4CBE56EE" w14:textId="77777777" w:rsidR="0067594B" w:rsidRPr="00D82B24" w:rsidRDefault="0067594B" w:rsidP="009920E7">
      <w:pPr>
        <w:spacing w:after="160"/>
        <w:rPr>
          <w:sz w:val="24"/>
          <w:szCs w:val="24"/>
        </w:rPr>
      </w:pPr>
    </w:p>
    <w:p w14:paraId="21ACE539" w14:textId="77777777" w:rsidR="0067594B" w:rsidRDefault="0067594B" w:rsidP="009920E7">
      <w:pPr>
        <w:spacing w:after="160"/>
      </w:pPr>
    </w:p>
    <w:p w14:paraId="0BCCF8DC" w14:textId="77777777" w:rsidR="0067594B" w:rsidRDefault="0067594B" w:rsidP="009920E7">
      <w:pPr>
        <w:spacing w:after="160"/>
      </w:pPr>
    </w:p>
    <w:p w14:paraId="60F69EE8" w14:textId="77777777" w:rsidR="0067594B" w:rsidRDefault="0067594B" w:rsidP="009920E7">
      <w:pPr>
        <w:spacing w:after="160"/>
      </w:pPr>
    </w:p>
    <w:p w14:paraId="2783981C" w14:textId="77777777" w:rsidR="0067594B" w:rsidRDefault="0067594B" w:rsidP="009920E7">
      <w:pPr>
        <w:spacing w:after="160"/>
      </w:pPr>
    </w:p>
    <w:p w14:paraId="0C4387C4" w14:textId="77777777" w:rsidR="0067594B" w:rsidRDefault="0067594B" w:rsidP="009920E7">
      <w:pPr>
        <w:spacing w:after="160"/>
      </w:pPr>
    </w:p>
    <w:p w14:paraId="6F664FE0" w14:textId="77777777" w:rsidR="0067594B" w:rsidRDefault="0067594B" w:rsidP="009920E7">
      <w:pPr>
        <w:spacing w:after="160"/>
      </w:pPr>
    </w:p>
    <w:p w14:paraId="559C6F1D" w14:textId="77777777" w:rsidR="0067594B" w:rsidRDefault="0067594B" w:rsidP="009920E7">
      <w:pPr>
        <w:spacing w:after="160"/>
      </w:pPr>
    </w:p>
    <w:p w14:paraId="07864347" w14:textId="77777777" w:rsidR="0067594B" w:rsidRDefault="0067594B" w:rsidP="009920E7">
      <w:pPr>
        <w:spacing w:after="160"/>
      </w:pPr>
    </w:p>
    <w:p w14:paraId="44534B49" w14:textId="77777777" w:rsidR="009920E7" w:rsidRDefault="009920E7" w:rsidP="009920E7">
      <w:pPr>
        <w:pStyle w:val="Heading2"/>
        <w:spacing w:before="240" w:after="120"/>
        <w:rPr>
          <w:rFonts w:ascii="Times New Roman" w:hAnsi="Times New Roman" w:cs="Times New Roman"/>
          <w:color w:val="262626" w:themeColor="text1" w:themeTint="D9"/>
          <w:sz w:val="36"/>
          <w:szCs w:val="36"/>
        </w:rPr>
      </w:pPr>
      <w:r w:rsidRPr="005F5FEE">
        <w:rPr>
          <w:rFonts w:ascii="Times New Roman" w:hAnsi="Times New Roman" w:cs="Times New Roman"/>
          <w:color w:val="262626" w:themeColor="text1" w:themeTint="D9"/>
          <w:sz w:val="36"/>
          <w:szCs w:val="36"/>
        </w:rPr>
        <w:lastRenderedPageBreak/>
        <w:t>4.4 At-Risk Premium Customers Represent Meaningful Silent-Churn Exposure</w:t>
      </w:r>
    </w:p>
    <w:p w14:paraId="6768C972" w14:textId="77777777" w:rsidR="00322001" w:rsidRDefault="00322001" w:rsidP="00322001"/>
    <w:p w14:paraId="6BADCCB0" w14:textId="77777777" w:rsidR="00322001" w:rsidRDefault="00322001" w:rsidP="00322001"/>
    <w:p w14:paraId="5CDFC336" w14:textId="77777777" w:rsidR="00322001" w:rsidRPr="00322001" w:rsidRDefault="00322001" w:rsidP="00322001"/>
    <w:p w14:paraId="2C74D6D2" w14:textId="77777777" w:rsidR="005F5FEE" w:rsidRPr="005F5FEE" w:rsidRDefault="005F5FEE" w:rsidP="005F5FEE">
      <w:pPr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</w:p>
    <w:p w14:paraId="4A7C1892" w14:textId="77777777" w:rsidR="009920E7" w:rsidRDefault="009920E7" w:rsidP="009920E7">
      <w:pPr>
        <w:spacing w:after="200"/>
        <w:jc w:val="center"/>
      </w:pPr>
      <w:r>
        <w:rPr>
          <w:noProof/>
        </w:rPr>
        <w:drawing>
          <wp:inline distT="0" distB="0" distL="0" distR="0" wp14:anchorId="199C6DF9" wp14:editId="5FB1E627">
            <wp:extent cx="5669280" cy="3680460"/>
            <wp:effectExtent l="0" t="0" r="7620" b="0"/>
            <wp:docPr id="941437099" name="Picture 941437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65D8" w14:textId="77777777" w:rsidR="009920E7" w:rsidRDefault="009920E7" w:rsidP="009920E7">
      <w:pPr>
        <w:spacing w:after="24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 4: At-risk premium customers vs. remaining base</w:t>
      </w:r>
    </w:p>
    <w:p w14:paraId="16842177" w14:textId="77777777" w:rsidR="0067594B" w:rsidRDefault="0067594B" w:rsidP="009920E7">
      <w:pPr>
        <w:spacing w:after="160"/>
        <w:rPr>
          <w:i/>
          <w:iCs/>
          <w:color w:val="595959"/>
          <w:sz w:val="20"/>
          <w:szCs w:val="20"/>
        </w:rPr>
      </w:pPr>
    </w:p>
    <w:p w14:paraId="715FBC14" w14:textId="3D7385A3" w:rsidR="0067594B" w:rsidRPr="00D82B24" w:rsidRDefault="00322001" w:rsidP="00291432">
      <w:pPr>
        <w:spacing w:after="160" w:line="276" w:lineRule="auto"/>
        <w:rPr>
          <w:sz w:val="24"/>
          <w:szCs w:val="24"/>
        </w:rPr>
      </w:pPr>
      <w:r w:rsidRPr="00322001">
        <w:rPr>
          <w:sz w:val="24"/>
          <w:szCs w:val="24"/>
        </w:rPr>
        <w:t xml:space="preserve">The “at-risk premium” segment consists of 1,247 customers (12.5% of the base) that are inactive members with top-quartile balance. Their churn rate (30.5%) is 1.6x the rest of the base (18.9%) and is the clearest silent-churn signal in the dataset: high-value customers that look safe on a balance sheet but are </w:t>
      </w:r>
      <w:r w:rsidR="00A536AD" w:rsidRPr="00322001">
        <w:rPr>
          <w:sz w:val="24"/>
          <w:szCs w:val="24"/>
        </w:rPr>
        <w:t>behaviourally</w:t>
      </w:r>
      <w:r w:rsidRPr="00322001">
        <w:rPr>
          <w:sz w:val="24"/>
          <w:szCs w:val="24"/>
        </w:rPr>
        <w:t xml:space="preserve"> disengaged.      </w:t>
      </w:r>
    </w:p>
    <w:p w14:paraId="4124815D" w14:textId="77777777" w:rsidR="0067594B" w:rsidRDefault="0067594B" w:rsidP="00291432">
      <w:pPr>
        <w:spacing w:after="160" w:line="276" w:lineRule="auto"/>
      </w:pPr>
    </w:p>
    <w:p w14:paraId="46D5772A" w14:textId="77777777" w:rsidR="0067594B" w:rsidRDefault="0067594B" w:rsidP="009920E7">
      <w:pPr>
        <w:spacing w:after="160"/>
      </w:pPr>
    </w:p>
    <w:p w14:paraId="485FEC19" w14:textId="77777777" w:rsidR="0067594B" w:rsidRDefault="0067594B" w:rsidP="009920E7">
      <w:pPr>
        <w:spacing w:after="160"/>
      </w:pPr>
    </w:p>
    <w:p w14:paraId="2005EB64" w14:textId="77777777" w:rsidR="0067594B" w:rsidRDefault="0067594B" w:rsidP="009920E7">
      <w:pPr>
        <w:spacing w:after="160"/>
      </w:pPr>
    </w:p>
    <w:p w14:paraId="3BD70E27" w14:textId="77777777" w:rsidR="00322001" w:rsidRDefault="00322001" w:rsidP="009920E7">
      <w:pPr>
        <w:spacing w:after="160"/>
      </w:pPr>
    </w:p>
    <w:p w14:paraId="6A3BB0C7" w14:textId="77777777" w:rsidR="0067594B" w:rsidRDefault="0067594B" w:rsidP="009920E7">
      <w:pPr>
        <w:spacing w:after="160"/>
      </w:pPr>
    </w:p>
    <w:p w14:paraId="5640E38F" w14:textId="77777777" w:rsidR="009920E7" w:rsidRDefault="009920E7" w:rsidP="009920E7">
      <w:pPr>
        <w:pStyle w:val="Heading2"/>
        <w:spacing w:before="240" w:after="120"/>
        <w:rPr>
          <w:rFonts w:ascii="Times New Roman" w:hAnsi="Times New Roman" w:cs="Times New Roman"/>
          <w:color w:val="262626" w:themeColor="text1" w:themeTint="D9"/>
          <w:sz w:val="36"/>
          <w:szCs w:val="36"/>
        </w:rPr>
      </w:pPr>
      <w:r w:rsidRPr="001013DD">
        <w:rPr>
          <w:rFonts w:ascii="Times New Roman" w:hAnsi="Times New Roman" w:cs="Times New Roman"/>
          <w:color w:val="262626" w:themeColor="text1" w:themeTint="D9"/>
          <w:sz w:val="36"/>
          <w:szCs w:val="36"/>
        </w:rPr>
        <w:lastRenderedPageBreak/>
        <w:t>4.5 Relationship Strength Index Outperforms Any Single Factor</w:t>
      </w:r>
    </w:p>
    <w:p w14:paraId="4583939A" w14:textId="77777777" w:rsidR="00D913D7" w:rsidRDefault="00D913D7" w:rsidP="00D913D7"/>
    <w:p w14:paraId="3077FD7D" w14:textId="77777777" w:rsidR="00D913D7" w:rsidRPr="00D913D7" w:rsidRDefault="00D913D7" w:rsidP="00D913D7"/>
    <w:p w14:paraId="562A7C4D" w14:textId="77777777" w:rsidR="001013DD" w:rsidRPr="001013DD" w:rsidRDefault="001013DD" w:rsidP="001013DD"/>
    <w:p w14:paraId="1266BEB7" w14:textId="77777777" w:rsidR="009920E7" w:rsidRDefault="009920E7" w:rsidP="009920E7">
      <w:pPr>
        <w:spacing w:after="200"/>
        <w:jc w:val="center"/>
      </w:pPr>
      <w:r>
        <w:rPr>
          <w:noProof/>
        </w:rPr>
        <w:drawing>
          <wp:inline distT="0" distB="0" distL="0" distR="0" wp14:anchorId="5482A9B6" wp14:editId="03758528">
            <wp:extent cx="5554980" cy="3459480"/>
            <wp:effectExtent l="0" t="0" r="7620" b="7620"/>
            <wp:docPr id="875313358" name="Picture 875313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3D30" w14:textId="77777777" w:rsidR="009920E7" w:rsidRDefault="009920E7" w:rsidP="009920E7">
      <w:pPr>
        <w:spacing w:after="24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 5: Churn rate by Relationship Strength Index (RSI) quartile</w:t>
      </w:r>
    </w:p>
    <w:p w14:paraId="11D270B0" w14:textId="77777777" w:rsidR="0067594B" w:rsidRDefault="0067594B" w:rsidP="009920E7">
      <w:pPr>
        <w:spacing w:after="160"/>
        <w:rPr>
          <w:i/>
          <w:iCs/>
          <w:color w:val="595959"/>
          <w:sz w:val="20"/>
          <w:szCs w:val="20"/>
        </w:rPr>
      </w:pPr>
    </w:p>
    <w:p w14:paraId="20BCDA00" w14:textId="3C69C343" w:rsidR="0067594B" w:rsidRPr="0064710D" w:rsidRDefault="0007783E" w:rsidP="00291432">
      <w:pPr>
        <w:spacing w:after="160" w:line="276" w:lineRule="auto"/>
      </w:pPr>
      <w:r w:rsidRPr="0064710D">
        <w:rPr>
          <w:sz w:val="24"/>
          <w:szCs w:val="24"/>
        </w:rPr>
        <w:t>Churn decreases monotonically and steadily across RSI quartiles, from 32.1% in the lowest to 10.9% in the highest — a cleaner, more monotonic gradient than any individual variable, including product count alone. This provides support for the idea of using a composite relationship score, rather than any one field, as the basis of retention scoring.</w:t>
      </w:r>
    </w:p>
    <w:p w14:paraId="1AC07163" w14:textId="77777777" w:rsidR="0067594B" w:rsidRDefault="0067594B" w:rsidP="00291432">
      <w:pPr>
        <w:spacing w:after="160" w:line="276" w:lineRule="auto"/>
      </w:pPr>
    </w:p>
    <w:p w14:paraId="721C0F21" w14:textId="77777777" w:rsidR="0067594B" w:rsidRDefault="0067594B" w:rsidP="009920E7">
      <w:pPr>
        <w:spacing w:after="160"/>
      </w:pPr>
    </w:p>
    <w:p w14:paraId="1780BE81" w14:textId="77777777" w:rsidR="0067594B" w:rsidRDefault="0067594B" w:rsidP="009920E7">
      <w:pPr>
        <w:spacing w:after="160"/>
      </w:pPr>
    </w:p>
    <w:p w14:paraId="7978CF13" w14:textId="77777777" w:rsidR="0067594B" w:rsidRDefault="0067594B" w:rsidP="009920E7">
      <w:pPr>
        <w:spacing w:after="160"/>
      </w:pPr>
    </w:p>
    <w:p w14:paraId="1B009EAF" w14:textId="77777777" w:rsidR="0041454F" w:rsidRDefault="0041454F" w:rsidP="009920E7">
      <w:pPr>
        <w:spacing w:after="160"/>
      </w:pPr>
    </w:p>
    <w:p w14:paraId="6320ECDF" w14:textId="77777777" w:rsidR="00785814" w:rsidRDefault="00785814" w:rsidP="009920E7">
      <w:pPr>
        <w:spacing w:after="160"/>
      </w:pPr>
    </w:p>
    <w:p w14:paraId="39C5823A" w14:textId="77777777" w:rsidR="002C5161" w:rsidRDefault="002C5161" w:rsidP="009920E7">
      <w:pPr>
        <w:spacing w:after="160"/>
      </w:pPr>
    </w:p>
    <w:p w14:paraId="101B1D84" w14:textId="77777777" w:rsidR="00785814" w:rsidRDefault="00785814" w:rsidP="009920E7">
      <w:pPr>
        <w:spacing w:after="160"/>
      </w:pPr>
    </w:p>
    <w:p w14:paraId="2C6E7558" w14:textId="77777777" w:rsidR="009920E7" w:rsidRDefault="009920E7" w:rsidP="009920E7">
      <w:pPr>
        <w:pStyle w:val="Heading2"/>
        <w:spacing w:before="240" w:after="120"/>
        <w:rPr>
          <w:rFonts w:ascii="Times New Roman" w:hAnsi="Times New Roman" w:cs="Times New Roman"/>
          <w:color w:val="262626" w:themeColor="text1" w:themeTint="D9"/>
          <w:sz w:val="36"/>
          <w:szCs w:val="36"/>
        </w:rPr>
      </w:pPr>
      <w:r w:rsidRPr="00785814">
        <w:rPr>
          <w:rFonts w:ascii="Times New Roman" w:hAnsi="Times New Roman" w:cs="Times New Roman"/>
          <w:color w:val="262626" w:themeColor="text1" w:themeTint="D9"/>
          <w:sz w:val="36"/>
          <w:szCs w:val="36"/>
        </w:rPr>
        <w:lastRenderedPageBreak/>
        <w:t>4.6 Geographic and Demographic Context</w:t>
      </w:r>
    </w:p>
    <w:p w14:paraId="3AFAB564" w14:textId="77777777" w:rsidR="00322001" w:rsidRDefault="00322001" w:rsidP="00322001"/>
    <w:p w14:paraId="08A67033" w14:textId="77777777" w:rsidR="00322001" w:rsidRPr="00322001" w:rsidRDefault="00322001" w:rsidP="00322001"/>
    <w:p w14:paraId="571BFDBA" w14:textId="77777777" w:rsidR="00785814" w:rsidRPr="00785814" w:rsidRDefault="00785814" w:rsidP="00785814"/>
    <w:p w14:paraId="24988052" w14:textId="77777777" w:rsidR="009920E7" w:rsidRDefault="009920E7" w:rsidP="009920E7">
      <w:pPr>
        <w:spacing w:after="200"/>
        <w:jc w:val="center"/>
      </w:pPr>
      <w:r>
        <w:rPr>
          <w:noProof/>
        </w:rPr>
        <w:drawing>
          <wp:inline distT="0" distB="0" distL="0" distR="0" wp14:anchorId="55CE9BC5" wp14:editId="28B765EC">
            <wp:extent cx="4922520" cy="3794760"/>
            <wp:effectExtent l="0" t="0" r="0" b="0"/>
            <wp:docPr id="617047053" name="Picture 617047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8AFB" w14:textId="77777777" w:rsidR="009920E7" w:rsidRDefault="009920E7" w:rsidP="009920E7">
      <w:pPr>
        <w:spacing w:after="24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 6: Churn rate by geography</w:t>
      </w:r>
    </w:p>
    <w:p w14:paraId="4FD38620" w14:textId="77777777" w:rsidR="00A536AD" w:rsidRDefault="00A536AD" w:rsidP="00A536AD">
      <w:pPr>
        <w:spacing w:after="240"/>
      </w:pPr>
    </w:p>
    <w:p w14:paraId="087ACD42" w14:textId="1D6C52BF" w:rsidR="009920E7" w:rsidRPr="00D82B24" w:rsidRDefault="00322001" w:rsidP="00291432">
      <w:pPr>
        <w:spacing w:line="276" w:lineRule="auto"/>
        <w:rPr>
          <w:sz w:val="24"/>
          <w:szCs w:val="24"/>
        </w:rPr>
      </w:pPr>
      <w:r w:rsidRPr="00322001">
        <w:rPr>
          <w:sz w:val="24"/>
          <w:szCs w:val="24"/>
        </w:rPr>
        <w:t xml:space="preserve">Although product and engagement distributions are similar across the three countries, churn is much higher in Germany (32.4%) than in France (16.2%) and Spain (16.7%). This shows that the </w:t>
      </w:r>
      <w:r w:rsidR="00A536AD" w:rsidRPr="00322001">
        <w:rPr>
          <w:sz w:val="24"/>
          <w:szCs w:val="24"/>
        </w:rPr>
        <w:t>behavioural</w:t>
      </w:r>
      <w:r w:rsidRPr="00322001">
        <w:rPr>
          <w:sz w:val="24"/>
          <w:szCs w:val="24"/>
        </w:rPr>
        <w:t xml:space="preserve"> factors previously identified are magnified by market-specific factors (competition, service quality or local alternatives). The churn rate for female customers is higher than for male customers (25.1% vs. 16.5%). The churn propensity also increases with age (correlation +0.29) as older customers are more likely to have 3-4 products and also more likely to churn. This also supports the observation in Section 4.2 that the 3-4 product demographic may represent an older, potentially over-sold or discontented group, rather than a fruitful cross-selling achievement.</w:t>
      </w:r>
      <w:r w:rsidR="009920E7" w:rsidRPr="00D82B24">
        <w:rPr>
          <w:sz w:val="24"/>
          <w:szCs w:val="24"/>
        </w:rPr>
        <w:br w:type="page"/>
      </w:r>
    </w:p>
    <w:p w14:paraId="6A212308" w14:textId="77777777" w:rsidR="009920E7" w:rsidRDefault="009920E7" w:rsidP="009920E7">
      <w:pPr>
        <w:pStyle w:val="Heading1"/>
        <w:spacing w:before="320" w:after="160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67594B">
        <w:rPr>
          <w:rFonts w:ascii="Times New Roman" w:hAnsi="Times New Roman" w:cs="Times New Roman"/>
          <w:b/>
          <w:bCs/>
          <w:color w:val="262626" w:themeColor="text1" w:themeTint="D9"/>
        </w:rPr>
        <w:lastRenderedPageBreak/>
        <w:t>5. Key Performance Indicators</w:t>
      </w:r>
    </w:p>
    <w:p w14:paraId="45A7B3D9" w14:textId="77777777" w:rsidR="0067594B" w:rsidRDefault="0067594B" w:rsidP="0067594B"/>
    <w:p w14:paraId="440F01A8" w14:textId="77777777" w:rsidR="0067594B" w:rsidRDefault="0067594B" w:rsidP="0067594B"/>
    <w:tbl>
      <w:tblPr>
        <w:tblpPr w:leftFromText="180" w:rightFromText="180" w:vertAnchor="text" w:horzAnchor="margin" w:tblpY="16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D24AC8" w14:paraId="792B8468" w14:textId="77777777" w:rsidTr="00D24AC8">
        <w:tc>
          <w:tcPr>
            <w:tcW w:w="1250" w:type="pct"/>
            <w:shd w:val="clear" w:color="auto" w:fill="00B0F0"/>
          </w:tcPr>
          <w:p w14:paraId="3B623688" w14:textId="77777777" w:rsidR="00D24AC8" w:rsidRPr="00A64EF3" w:rsidRDefault="00D24AC8" w:rsidP="00D24AC8">
            <w:pPr>
              <w:tabs>
                <w:tab w:val="center" w:pos="1117"/>
              </w:tabs>
              <w:rPr>
                <w:color w:val="262626" w:themeColor="text1" w:themeTint="D9"/>
                <w:sz w:val="32"/>
                <w:szCs w:val="32"/>
              </w:rPr>
            </w:pPr>
            <w:r w:rsidRPr="00A64EF3">
              <w:rPr>
                <w:b/>
                <w:bCs/>
                <w:color w:val="262626" w:themeColor="text1" w:themeTint="D9"/>
                <w:sz w:val="32"/>
                <w:szCs w:val="32"/>
              </w:rPr>
              <w:t>KPI</w:t>
            </w:r>
            <w:r w:rsidRPr="00A64EF3">
              <w:rPr>
                <w:b/>
                <w:bCs/>
                <w:color w:val="262626" w:themeColor="text1" w:themeTint="D9"/>
                <w:sz w:val="32"/>
                <w:szCs w:val="32"/>
              </w:rPr>
              <w:tab/>
            </w:r>
          </w:p>
        </w:tc>
        <w:tc>
          <w:tcPr>
            <w:tcW w:w="1250" w:type="pct"/>
            <w:shd w:val="clear" w:color="auto" w:fill="00B0F0"/>
          </w:tcPr>
          <w:p w14:paraId="41D2C876" w14:textId="77777777" w:rsidR="00D24AC8" w:rsidRPr="00A64EF3" w:rsidRDefault="00D24AC8" w:rsidP="00D24AC8">
            <w:pPr>
              <w:rPr>
                <w:color w:val="262626" w:themeColor="text1" w:themeTint="D9"/>
                <w:sz w:val="32"/>
                <w:szCs w:val="32"/>
              </w:rPr>
            </w:pPr>
            <w:r w:rsidRPr="00A64EF3">
              <w:rPr>
                <w:b/>
                <w:bCs/>
                <w:color w:val="262626" w:themeColor="text1" w:themeTint="D9"/>
                <w:sz w:val="32"/>
                <w:szCs w:val="32"/>
              </w:rPr>
              <w:t>Definition</w:t>
            </w:r>
          </w:p>
        </w:tc>
        <w:tc>
          <w:tcPr>
            <w:tcW w:w="1250" w:type="pct"/>
            <w:shd w:val="clear" w:color="auto" w:fill="00B0F0"/>
          </w:tcPr>
          <w:p w14:paraId="4E613487" w14:textId="77777777" w:rsidR="00D24AC8" w:rsidRPr="00A64EF3" w:rsidRDefault="00D24AC8" w:rsidP="00D24AC8">
            <w:pPr>
              <w:rPr>
                <w:color w:val="262626" w:themeColor="text1" w:themeTint="D9"/>
                <w:sz w:val="32"/>
                <w:szCs w:val="32"/>
              </w:rPr>
            </w:pPr>
            <w:r w:rsidRPr="00A64EF3">
              <w:rPr>
                <w:b/>
                <w:bCs/>
                <w:color w:val="262626" w:themeColor="text1" w:themeTint="D9"/>
                <w:sz w:val="32"/>
                <w:szCs w:val="32"/>
              </w:rPr>
              <w:t>Result</w:t>
            </w:r>
          </w:p>
        </w:tc>
        <w:tc>
          <w:tcPr>
            <w:tcW w:w="1250" w:type="pct"/>
            <w:shd w:val="clear" w:color="auto" w:fill="00B0F0"/>
          </w:tcPr>
          <w:p w14:paraId="0228FAD6" w14:textId="77777777" w:rsidR="00D24AC8" w:rsidRPr="00A64EF3" w:rsidRDefault="00D24AC8" w:rsidP="00D24AC8">
            <w:pPr>
              <w:rPr>
                <w:color w:val="262626" w:themeColor="text1" w:themeTint="D9"/>
                <w:sz w:val="32"/>
                <w:szCs w:val="32"/>
              </w:rPr>
            </w:pPr>
            <w:r w:rsidRPr="00A64EF3">
              <w:rPr>
                <w:b/>
                <w:bCs/>
                <w:color w:val="262626" w:themeColor="text1" w:themeTint="D9"/>
                <w:sz w:val="32"/>
                <w:szCs w:val="32"/>
              </w:rPr>
              <w:t>Interpretation</w:t>
            </w:r>
          </w:p>
        </w:tc>
      </w:tr>
      <w:tr w:rsidR="00D24AC8" w:rsidRPr="00D24AC8" w14:paraId="0614A896" w14:textId="77777777" w:rsidTr="00D24AC8">
        <w:tc>
          <w:tcPr>
            <w:tcW w:w="1250" w:type="pct"/>
            <w:shd w:val="clear" w:color="auto" w:fill="F2F6FA"/>
          </w:tcPr>
          <w:p w14:paraId="1583917B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Engagement Retention Ratio</w:t>
            </w:r>
          </w:p>
        </w:tc>
        <w:tc>
          <w:tcPr>
            <w:tcW w:w="1250" w:type="pct"/>
            <w:shd w:val="clear" w:color="auto" w:fill="F2F6FA"/>
          </w:tcPr>
          <w:p w14:paraId="7370E449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Inactive churn rate ÷ Active churn rate</w:t>
            </w:r>
          </w:p>
        </w:tc>
        <w:tc>
          <w:tcPr>
            <w:tcW w:w="1250" w:type="pct"/>
            <w:shd w:val="clear" w:color="auto" w:fill="F2F6FA"/>
          </w:tcPr>
          <w:p w14:paraId="4CF2C519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1.88x</w:t>
            </w:r>
          </w:p>
        </w:tc>
        <w:tc>
          <w:tcPr>
            <w:tcW w:w="1250" w:type="pct"/>
            <w:shd w:val="clear" w:color="auto" w:fill="F2F6FA"/>
          </w:tcPr>
          <w:p w14:paraId="18801E3C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Inactive members are nearly twice as likely to churn as active members</w:t>
            </w:r>
          </w:p>
        </w:tc>
      </w:tr>
      <w:tr w:rsidR="00D24AC8" w:rsidRPr="00D24AC8" w14:paraId="095DC85A" w14:textId="77777777" w:rsidTr="00D24AC8">
        <w:tc>
          <w:tcPr>
            <w:tcW w:w="1250" w:type="pct"/>
            <w:shd w:val="clear" w:color="auto" w:fill="FFFFFF"/>
          </w:tcPr>
          <w:p w14:paraId="61942C3A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Product Depth Index</w:t>
            </w:r>
          </w:p>
        </w:tc>
        <w:tc>
          <w:tcPr>
            <w:tcW w:w="1250" w:type="pct"/>
            <w:shd w:val="clear" w:color="auto" w:fill="FFFFFF"/>
          </w:tcPr>
          <w:p w14:paraId="0C718D95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Correlation of product count with retention</w:t>
            </w:r>
          </w:p>
        </w:tc>
        <w:tc>
          <w:tcPr>
            <w:tcW w:w="1250" w:type="pct"/>
            <w:shd w:val="clear" w:color="auto" w:fill="FFFFFF"/>
          </w:tcPr>
          <w:p w14:paraId="7B513ECE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+0.048 (weak, non-linear)</w:t>
            </w:r>
          </w:p>
        </w:tc>
        <w:tc>
          <w:tcPr>
            <w:tcW w:w="1250" w:type="pct"/>
            <w:shd w:val="clear" w:color="auto" w:fill="FFFFFF"/>
          </w:tcPr>
          <w:p w14:paraId="76E34F15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Product count alone is a weak linear predictor; the true relationship peaks at 2 products</w:t>
            </w:r>
          </w:p>
        </w:tc>
      </w:tr>
      <w:tr w:rsidR="00D24AC8" w:rsidRPr="00D24AC8" w14:paraId="158C49EF" w14:textId="77777777" w:rsidTr="00D24AC8">
        <w:tc>
          <w:tcPr>
            <w:tcW w:w="1250" w:type="pct"/>
            <w:shd w:val="clear" w:color="auto" w:fill="F2F6FA"/>
          </w:tcPr>
          <w:p w14:paraId="6DDBD193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High-Balance Disengagement Rate</w:t>
            </w:r>
          </w:p>
        </w:tc>
        <w:tc>
          <w:tcPr>
            <w:tcW w:w="1250" w:type="pct"/>
            <w:shd w:val="clear" w:color="auto" w:fill="F2F6FA"/>
          </w:tcPr>
          <w:p w14:paraId="2503ED0A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Share of top-quartile-balance customers who are inactive</w:t>
            </w:r>
          </w:p>
        </w:tc>
        <w:tc>
          <w:tcPr>
            <w:tcW w:w="1250" w:type="pct"/>
            <w:shd w:val="clear" w:color="auto" w:fill="F2F6FA"/>
          </w:tcPr>
          <w:p w14:paraId="22A95D32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49.9%</w:t>
            </w:r>
          </w:p>
        </w:tc>
        <w:tc>
          <w:tcPr>
            <w:tcW w:w="1250" w:type="pct"/>
            <w:shd w:val="clear" w:color="auto" w:fill="F2F6FA"/>
          </w:tcPr>
          <w:p w14:paraId="5669025B" w14:textId="0AAB32E6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 xml:space="preserve">Roughly half of premium-balance customers are </w:t>
            </w:r>
            <w:r w:rsidR="00A536AD" w:rsidRPr="00D24AC8">
              <w:rPr>
                <w:rFonts w:ascii="Times New Roman" w:hAnsi="Times New Roman" w:cs="Times New Roman"/>
                <w:sz w:val="24"/>
                <w:szCs w:val="24"/>
              </w:rPr>
              <w:t>behaviourally</w:t>
            </w: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 xml:space="preserve"> disengaged</w:t>
            </w:r>
          </w:p>
        </w:tc>
      </w:tr>
      <w:tr w:rsidR="00D24AC8" w:rsidRPr="00D24AC8" w14:paraId="5446122B" w14:textId="77777777" w:rsidTr="00D24AC8">
        <w:tc>
          <w:tcPr>
            <w:tcW w:w="1250" w:type="pct"/>
            <w:shd w:val="clear" w:color="auto" w:fill="FFFFFF"/>
          </w:tcPr>
          <w:p w14:paraId="41FD0661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Credit Card Stickiness Score</w:t>
            </w:r>
          </w:p>
        </w:tc>
        <w:tc>
          <w:tcPr>
            <w:tcW w:w="1250" w:type="pct"/>
            <w:shd w:val="clear" w:color="auto" w:fill="FFFFFF"/>
          </w:tcPr>
          <w:p w14:paraId="22EA85B1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Non-card churn rate minus card-holder churn rate</w:t>
            </w:r>
          </w:p>
        </w:tc>
        <w:tc>
          <w:tcPr>
            <w:tcW w:w="1250" w:type="pct"/>
            <w:shd w:val="clear" w:color="auto" w:fill="FFFFFF"/>
          </w:tcPr>
          <w:p w14:paraId="1A179199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+0.6 pts (negligible)</w:t>
            </w:r>
          </w:p>
        </w:tc>
        <w:tc>
          <w:tcPr>
            <w:tcW w:w="1250" w:type="pct"/>
            <w:shd w:val="clear" w:color="auto" w:fill="FFFFFF"/>
          </w:tcPr>
          <w:p w14:paraId="15395A33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Card ownership shows almost no standalone retention effect in this dataset</w:t>
            </w:r>
          </w:p>
        </w:tc>
      </w:tr>
      <w:tr w:rsidR="00D24AC8" w:rsidRPr="00D24AC8" w14:paraId="32C470BC" w14:textId="77777777" w:rsidTr="00D24AC8">
        <w:tc>
          <w:tcPr>
            <w:tcW w:w="1250" w:type="pct"/>
            <w:shd w:val="clear" w:color="auto" w:fill="F2F6FA"/>
          </w:tcPr>
          <w:p w14:paraId="1F33EBF1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Relationship Strength Index</w:t>
            </w:r>
          </w:p>
        </w:tc>
        <w:tc>
          <w:tcPr>
            <w:tcW w:w="1250" w:type="pct"/>
            <w:shd w:val="clear" w:color="auto" w:fill="F2F6FA"/>
          </w:tcPr>
          <w:p w14:paraId="25EF3ABE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Composite of activity, product count, and card ownership</w:t>
            </w:r>
          </w:p>
        </w:tc>
        <w:tc>
          <w:tcPr>
            <w:tcW w:w="1250" w:type="pct"/>
            <w:shd w:val="clear" w:color="auto" w:fill="F2F6FA"/>
          </w:tcPr>
          <w:p w14:paraId="65AD5BB8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Corr. −0.153; monotonic across quartiles</w:t>
            </w:r>
          </w:p>
        </w:tc>
        <w:tc>
          <w:tcPr>
            <w:tcW w:w="1250" w:type="pct"/>
            <w:shd w:val="clear" w:color="auto" w:fill="F2F6FA"/>
          </w:tcPr>
          <w:p w14:paraId="46A493BC" w14:textId="77777777" w:rsidR="00D24AC8" w:rsidRPr="00D24AC8" w:rsidRDefault="00D24AC8" w:rsidP="00D24A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AC8">
              <w:rPr>
                <w:rFonts w:ascii="Times New Roman" w:hAnsi="Times New Roman" w:cs="Times New Roman"/>
                <w:sz w:val="24"/>
                <w:szCs w:val="24"/>
              </w:rPr>
              <w:t>Best single composite predictor of retention identified in this analysis</w:t>
            </w:r>
          </w:p>
        </w:tc>
      </w:tr>
    </w:tbl>
    <w:p w14:paraId="5E02C3B8" w14:textId="77777777" w:rsidR="0067594B" w:rsidRDefault="0067594B" w:rsidP="0067594B"/>
    <w:p w14:paraId="26613A20" w14:textId="77777777" w:rsidR="00D913D7" w:rsidRDefault="00D913D7" w:rsidP="0067594B"/>
    <w:p w14:paraId="3C59C27E" w14:textId="77777777" w:rsidR="00D913D7" w:rsidRDefault="00D913D7" w:rsidP="0067594B"/>
    <w:p w14:paraId="32A4F628" w14:textId="77777777" w:rsidR="00D913D7" w:rsidRPr="0067594B" w:rsidRDefault="00D913D7" w:rsidP="0067594B"/>
    <w:p w14:paraId="276D3826" w14:textId="5CFC4972" w:rsidR="009920E7" w:rsidRPr="00D913D7" w:rsidRDefault="009920E7" w:rsidP="00D913D7">
      <w:pPr>
        <w:rPr>
          <w:rFonts w:ascii="Times New Roman" w:hAnsi="Times New Roman" w:cs="Times New Roman"/>
          <w:sz w:val="48"/>
          <w:szCs w:val="48"/>
        </w:rPr>
      </w:pPr>
      <w:r w:rsidRPr="00D913D7">
        <w:rPr>
          <w:rFonts w:ascii="Times New Roman" w:hAnsi="Times New Roman" w:cs="Times New Roman"/>
          <w:b/>
          <w:bCs/>
          <w:color w:val="262626" w:themeColor="text1" w:themeTint="D9"/>
          <w:sz w:val="40"/>
          <w:szCs w:val="40"/>
        </w:rPr>
        <w:t>6. Discussion and Strategic Insights</w:t>
      </w:r>
    </w:p>
    <w:p w14:paraId="4FA24421" w14:textId="77777777" w:rsidR="005A5F7B" w:rsidRPr="00D913D7" w:rsidRDefault="005A5F7B" w:rsidP="005A5F7B">
      <w:pPr>
        <w:rPr>
          <w:sz w:val="40"/>
          <w:szCs w:val="40"/>
        </w:rPr>
      </w:pPr>
    </w:p>
    <w:p w14:paraId="7671E2C4" w14:textId="2DB3514D" w:rsidR="00DC2E1E" w:rsidRPr="00DC2E1E" w:rsidRDefault="00322001" w:rsidP="00DC2E1E">
      <w:pPr>
        <w:pStyle w:val="ListParagraph"/>
        <w:numPr>
          <w:ilvl w:val="0"/>
          <w:numId w:val="19"/>
        </w:numPr>
        <w:spacing w:after="80" w:line="276" w:lineRule="auto"/>
        <w:rPr>
          <w:sz w:val="24"/>
          <w:szCs w:val="24"/>
        </w:rPr>
      </w:pPr>
      <w:r w:rsidRPr="005A5F7B">
        <w:rPr>
          <w:sz w:val="24"/>
          <w:szCs w:val="24"/>
        </w:rPr>
        <w:t>Compensation and remuneration are poor sole indicators of loyalty – the sensitive premium segment proves that high value clients can be subtly alienated.</w:t>
      </w:r>
    </w:p>
    <w:p w14:paraId="6978433B" w14:textId="77777777" w:rsidR="00DC2E1E" w:rsidRDefault="00322001" w:rsidP="00DC2E1E">
      <w:pPr>
        <w:pStyle w:val="ListParagraph"/>
        <w:numPr>
          <w:ilvl w:val="0"/>
          <w:numId w:val="19"/>
        </w:numPr>
        <w:spacing w:after="80" w:line="276" w:lineRule="auto"/>
        <w:rPr>
          <w:sz w:val="24"/>
          <w:szCs w:val="24"/>
        </w:rPr>
      </w:pPr>
      <w:r w:rsidRPr="00DC2E1E">
        <w:rPr>
          <w:sz w:val="24"/>
          <w:szCs w:val="24"/>
        </w:rPr>
        <w:t>Two offerings seem to be the best threshold of retention. Rather than increasing the number of products indiscriminately, the bank should investigate the shift from two to three products.</w:t>
      </w:r>
    </w:p>
    <w:p w14:paraId="2EBB8045" w14:textId="77777777" w:rsidR="00DC2E1E" w:rsidRDefault="005A5F7B" w:rsidP="00DC2E1E">
      <w:pPr>
        <w:pStyle w:val="ListParagraph"/>
        <w:numPr>
          <w:ilvl w:val="0"/>
          <w:numId w:val="19"/>
        </w:numPr>
        <w:spacing w:after="80" w:line="276" w:lineRule="auto"/>
        <w:rPr>
          <w:sz w:val="24"/>
          <w:szCs w:val="24"/>
        </w:rPr>
      </w:pPr>
      <w:r w:rsidRPr="00DC2E1E">
        <w:rPr>
          <w:sz w:val="24"/>
          <w:szCs w:val="24"/>
        </w:rPr>
        <w:t>The 3-4 product segment is small (326 customers) but has high churn and should be treated as a separate, high-priority investigation group – more suited to relationship-manager engagement than cross-selling</w:t>
      </w:r>
      <w:r w:rsidR="009920E7" w:rsidRPr="00DC2E1E">
        <w:rPr>
          <w:sz w:val="24"/>
          <w:szCs w:val="24"/>
        </w:rPr>
        <w:t>.</w:t>
      </w:r>
    </w:p>
    <w:p w14:paraId="4C318316" w14:textId="77777777" w:rsidR="00DC2E1E" w:rsidRDefault="005A5F7B" w:rsidP="00DC2E1E">
      <w:pPr>
        <w:pStyle w:val="ListParagraph"/>
        <w:numPr>
          <w:ilvl w:val="0"/>
          <w:numId w:val="19"/>
        </w:numPr>
        <w:spacing w:after="80" w:line="276" w:lineRule="auto"/>
        <w:rPr>
          <w:sz w:val="24"/>
          <w:szCs w:val="24"/>
        </w:rPr>
      </w:pPr>
      <w:r w:rsidRPr="00DC2E1E">
        <w:rPr>
          <w:sz w:val="24"/>
          <w:szCs w:val="24"/>
        </w:rPr>
        <w:t>The most powerful retention strategy is activity re-engagement, not new product sales, because of the size of the Engagement Retention Ratio.</w:t>
      </w:r>
    </w:p>
    <w:p w14:paraId="15BA944E" w14:textId="4DB3E4A8" w:rsidR="00AF35CA" w:rsidRPr="00DC2E1E" w:rsidRDefault="005A5F7B" w:rsidP="00DC2E1E">
      <w:pPr>
        <w:pStyle w:val="ListParagraph"/>
        <w:numPr>
          <w:ilvl w:val="0"/>
          <w:numId w:val="19"/>
        </w:numPr>
        <w:spacing w:after="80" w:line="276" w:lineRule="auto"/>
        <w:rPr>
          <w:sz w:val="24"/>
          <w:szCs w:val="24"/>
        </w:rPr>
      </w:pPr>
      <w:r w:rsidRPr="00DC2E1E">
        <w:rPr>
          <w:sz w:val="24"/>
          <w:szCs w:val="24"/>
        </w:rPr>
        <w:t xml:space="preserve">Apart from the </w:t>
      </w:r>
      <w:r w:rsidR="00A536AD" w:rsidRPr="00DC2E1E">
        <w:rPr>
          <w:sz w:val="24"/>
          <w:szCs w:val="24"/>
        </w:rPr>
        <w:t>behavioural</w:t>
      </w:r>
      <w:r w:rsidRPr="00DC2E1E">
        <w:rPr>
          <w:sz w:val="24"/>
          <w:szCs w:val="24"/>
        </w:rPr>
        <w:t xml:space="preserve"> segmentation, the high turnover rate in Germany requires a comprehensive market analysis.</w:t>
      </w:r>
    </w:p>
    <w:p w14:paraId="549BA4B7" w14:textId="415F3357" w:rsidR="009920E7" w:rsidRDefault="009920E7" w:rsidP="009920E7">
      <w:pPr>
        <w:pStyle w:val="Heading1"/>
        <w:spacing w:before="320" w:after="160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AF35CA">
        <w:rPr>
          <w:rFonts w:ascii="Times New Roman" w:hAnsi="Times New Roman" w:cs="Times New Roman"/>
          <w:b/>
          <w:bCs/>
          <w:color w:val="262626" w:themeColor="text1" w:themeTint="D9"/>
        </w:rPr>
        <w:lastRenderedPageBreak/>
        <w:t>7. R</w:t>
      </w:r>
      <w:r w:rsidRPr="00D24AC8">
        <w:rPr>
          <w:rFonts w:ascii="Times New Roman" w:hAnsi="Times New Roman" w:cs="Times New Roman"/>
          <w:b/>
          <w:bCs/>
          <w:color w:val="262626" w:themeColor="text1" w:themeTint="D9"/>
        </w:rPr>
        <w:t>ecommendations</w:t>
      </w:r>
    </w:p>
    <w:p w14:paraId="560E6390" w14:textId="77777777" w:rsidR="00D913D7" w:rsidRPr="00D913D7" w:rsidRDefault="00D913D7" w:rsidP="00D913D7"/>
    <w:p w14:paraId="0C3EEC8B" w14:textId="77777777" w:rsidR="005A5F7B" w:rsidRDefault="005A5F7B" w:rsidP="00F501C8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sz w:val="24"/>
          <w:szCs w:val="24"/>
        </w:rPr>
      </w:pPr>
      <w:r w:rsidRPr="005A5F7B">
        <w:rPr>
          <w:sz w:val="24"/>
          <w:szCs w:val="24"/>
        </w:rPr>
        <w:t>Implement the at-risk premium segment (1,247 clients) as a proactive outreach program by relationship managers, prioritized by account balance.</w:t>
      </w:r>
    </w:p>
    <w:p w14:paraId="09EB02C3" w14:textId="17D5B9BA" w:rsidR="005A5F7B" w:rsidRDefault="005A5F7B" w:rsidP="00F501C8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sz w:val="24"/>
          <w:szCs w:val="24"/>
        </w:rPr>
      </w:pPr>
      <w:r w:rsidRPr="005A5F7B">
        <w:rPr>
          <w:sz w:val="24"/>
          <w:szCs w:val="24"/>
        </w:rPr>
        <w:t>Before pushing more product bundling as a retention strategy, take a look at the 3-4 product cohort directly (e.g. customer interviews, complaints logs, etc.).</w:t>
      </w:r>
    </w:p>
    <w:p w14:paraId="16ACBC91" w14:textId="77777777" w:rsidR="005A5F7B" w:rsidRDefault="005A5F7B" w:rsidP="00F501C8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sz w:val="24"/>
          <w:szCs w:val="24"/>
        </w:rPr>
      </w:pPr>
      <w:r w:rsidRPr="005A5F7B">
        <w:rPr>
          <w:sz w:val="24"/>
          <w:szCs w:val="24"/>
        </w:rPr>
        <w:t>Shift retention key performance indicators away from account initiation and product quantity goals to engagement and activity metrics, using the Relationship Strength Index as an ongoing retention metric</w:t>
      </w:r>
      <w:r>
        <w:rPr>
          <w:sz w:val="24"/>
          <w:szCs w:val="24"/>
        </w:rPr>
        <w:t>.</w:t>
      </w:r>
    </w:p>
    <w:p w14:paraId="41467C14" w14:textId="77777777" w:rsidR="005A5F7B" w:rsidRDefault="005A5F7B" w:rsidP="00F501C8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sz w:val="24"/>
          <w:szCs w:val="24"/>
        </w:rPr>
      </w:pPr>
      <w:r w:rsidRPr="005A5F7B">
        <w:rPr>
          <w:sz w:val="24"/>
          <w:szCs w:val="24"/>
        </w:rPr>
        <w:t>Launch a re-engagement campaign (separate from a cross-selling campaign) targeted at the “Active but Low-Product” and “Inactive Disengaged” segments, which together make up more than 60% of the customer base.</w:t>
      </w:r>
    </w:p>
    <w:p w14:paraId="34E1ACF0" w14:textId="0DF19B78" w:rsidR="005A5F7B" w:rsidRPr="005A5F7B" w:rsidRDefault="005A5F7B" w:rsidP="00F501C8">
      <w:pPr>
        <w:pStyle w:val="ListParagraph"/>
        <w:numPr>
          <w:ilvl w:val="0"/>
          <w:numId w:val="1"/>
        </w:numPr>
        <w:spacing w:after="80" w:line="276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</w:t>
      </w:r>
      <w:r w:rsidRPr="005A5F7B">
        <w:rPr>
          <w:sz w:val="24"/>
          <w:szCs w:val="24"/>
        </w:rPr>
        <w:t xml:space="preserve">erform a Germany-specific retention analysis to separate out market-level influences from the </w:t>
      </w:r>
      <w:r w:rsidR="00A536AD" w:rsidRPr="005A5F7B">
        <w:rPr>
          <w:sz w:val="24"/>
          <w:szCs w:val="24"/>
        </w:rPr>
        <w:t>behavioural</w:t>
      </w:r>
      <w:r w:rsidRPr="005A5F7B">
        <w:rPr>
          <w:sz w:val="24"/>
          <w:szCs w:val="24"/>
        </w:rPr>
        <w:t xml:space="preserve"> factors identified herein.</w:t>
      </w:r>
    </w:p>
    <w:p w14:paraId="107C9592" w14:textId="77777777" w:rsidR="00D913D7" w:rsidRDefault="00D913D7" w:rsidP="009920E7">
      <w:pPr>
        <w:pStyle w:val="Heading1"/>
        <w:spacing w:before="320" w:after="160"/>
        <w:rPr>
          <w:rFonts w:ascii="Times New Roman" w:hAnsi="Times New Roman" w:cs="Times New Roman"/>
          <w:b/>
          <w:bCs/>
          <w:color w:val="262626" w:themeColor="text1" w:themeTint="D9"/>
        </w:rPr>
      </w:pPr>
    </w:p>
    <w:p w14:paraId="715113EE" w14:textId="5A873802" w:rsidR="009920E7" w:rsidRDefault="009920E7" w:rsidP="009920E7">
      <w:pPr>
        <w:pStyle w:val="Heading1"/>
        <w:spacing w:before="320" w:after="160"/>
        <w:rPr>
          <w:rFonts w:ascii="Times New Roman" w:hAnsi="Times New Roman" w:cs="Times New Roman"/>
          <w:b/>
          <w:bCs/>
          <w:color w:val="262626" w:themeColor="text1" w:themeTint="D9"/>
        </w:rPr>
      </w:pPr>
      <w:r w:rsidRPr="00D24AC8">
        <w:rPr>
          <w:rFonts w:ascii="Times New Roman" w:hAnsi="Times New Roman" w:cs="Times New Roman"/>
          <w:b/>
          <w:bCs/>
          <w:color w:val="262626" w:themeColor="text1" w:themeTint="D9"/>
        </w:rPr>
        <w:t>8. Conclusion</w:t>
      </w:r>
    </w:p>
    <w:p w14:paraId="5266405C" w14:textId="77777777" w:rsidR="00D913D7" w:rsidRPr="00D913D7" w:rsidRDefault="00D913D7" w:rsidP="00D913D7"/>
    <w:p w14:paraId="6C191851" w14:textId="767BA2CF" w:rsidR="008435D0" w:rsidRPr="009B146F" w:rsidRDefault="009B146F" w:rsidP="00F501C8">
      <w:pPr>
        <w:spacing w:line="276" w:lineRule="auto"/>
        <w:rPr>
          <w:sz w:val="24"/>
          <w:szCs w:val="24"/>
        </w:rPr>
      </w:pPr>
      <w:r w:rsidRPr="009B146F">
        <w:rPr>
          <w:sz w:val="24"/>
          <w:szCs w:val="24"/>
        </w:rPr>
        <w:t xml:space="preserve">This analysis moves the focus of customer churn from a purely demographic one to a </w:t>
      </w:r>
      <w:r w:rsidR="00A536AD" w:rsidRPr="009B146F">
        <w:rPr>
          <w:sz w:val="24"/>
          <w:szCs w:val="24"/>
        </w:rPr>
        <w:t>behavioural</w:t>
      </w:r>
      <w:r w:rsidRPr="009B146F">
        <w:rPr>
          <w:sz w:val="24"/>
          <w:szCs w:val="24"/>
        </w:rPr>
        <w:t xml:space="preserve"> and relationship-strength one. Engagement status, product-mix depth, and a composite relationship strength score all trump balance or salary as retention indicators, and importantly, expose a segment of high-value, disengaged customers invisible to demographic-only churn models. A more actionable way to reduce churn is to deploy a strategy of engagement-driven retention, based on the Relationship Strength Index and the at-risk premium and over-leveraged product segments identified here, instead of demographic targeting alone.</w:t>
      </w:r>
    </w:p>
    <w:sectPr w:rsidR="008435D0" w:rsidRPr="009B146F" w:rsidSect="009920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AEE98" w14:textId="77777777" w:rsidR="00BC6197" w:rsidRDefault="00BC6197" w:rsidP="00D93780">
      <w:r>
        <w:separator/>
      </w:r>
    </w:p>
  </w:endnote>
  <w:endnote w:type="continuationSeparator" w:id="0">
    <w:p w14:paraId="4387E88E" w14:textId="77777777" w:rsidR="00BC6197" w:rsidRDefault="00BC6197" w:rsidP="00D93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40AC7" w14:textId="77777777" w:rsidR="00BC6197" w:rsidRDefault="00BC6197" w:rsidP="00D93780">
      <w:r>
        <w:separator/>
      </w:r>
    </w:p>
  </w:footnote>
  <w:footnote w:type="continuationSeparator" w:id="0">
    <w:p w14:paraId="30F16C92" w14:textId="77777777" w:rsidR="00BC6197" w:rsidRDefault="00BC6197" w:rsidP="00D937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7E2B"/>
    <w:multiLevelType w:val="hybridMultilevel"/>
    <w:tmpl w:val="135AADE4"/>
    <w:lvl w:ilvl="0" w:tplc="9E280BA6">
      <w:start w:val="1"/>
      <w:numFmt w:val="bullet"/>
      <w:lvlText w:val="●"/>
      <w:lvlJc w:val="left"/>
      <w:pPr>
        <w:ind w:left="720" w:hanging="360"/>
      </w:pPr>
    </w:lvl>
    <w:lvl w:ilvl="1" w:tplc="50FA151C">
      <w:start w:val="1"/>
      <w:numFmt w:val="bullet"/>
      <w:lvlText w:val="○"/>
      <w:lvlJc w:val="left"/>
      <w:pPr>
        <w:ind w:left="1440" w:hanging="360"/>
      </w:pPr>
    </w:lvl>
    <w:lvl w:ilvl="2" w:tplc="15EAF504">
      <w:start w:val="1"/>
      <w:numFmt w:val="bullet"/>
      <w:lvlText w:val="■"/>
      <w:lvlJc w:val="left"/>
      <w:pPr>
        <w:ind w:left="2160" w:hanging="360"/>
      </w:pPr>
    </w:lvl>
    <w:lvl w:ilvl="3" w:tplc="500EADD8">
      <w:start w:val="1"/>
      <w:numFmt w:val="bullet"/>
      <w:lvlText w:val="●"/>
      <w:lvlJc w:val="left"/>
      <w:pPr>
        <w:ind w:left="2880" w:hanging="360"/>
      </w:pPr>
    </w:lvl>
    <w:lvl w:ilvl="4" w:tplc="D524592A">
      <w:start w:val="1"/>
      <w:numFmt w:val="bullet"/>
      <w:lvlText w:val="○"/>
      <w:lvlJc w:val="left"/>
      <w:pPr>
        <w:ind w:left="3600" w:hanging="360"/>
      </w:pPr>
    </w:lvl>
    <w:lvl w:ilvl="5" w:tplc="19949038">
      <w:start w:val="1"/>
      <w:numFmt w:val="bullet"/>
      <w:lvlText w:val="■"/>
      <w:lvlJc w:val="left"/>
      <w:pPr>
        <w:ind w:left="4320" w:hanging="360"/>
      </w:pPr>
    </w:lvl>
    <w:lvl w:ilvl="6" w:tplc="4A3EBF48">
      <w:start w:val="1"/>
      <w:numFmt w:val="bullet"/>
      <w:lvlText w:val="●"/>
      <w:lvlJc w:val="left"/>
      <w:pPr>
        <w:ind w:left="5040" w:hanging="360"/>
      </w:pPr>
    </w:lvl>
    <w:lvl w:ilvl="7" w:tplc="9CB44FCC">
      <w:start w:val="1"/>
      <w:numFmt w:val="bullet"/>
      <w:lvlText w:val="●"/>
      <w:lvlJc w:val="left"/>
      <w:pPr>
        <w:ind w:left="5760" w:hanging="360"/>
      </w:pPr>
    </w:lvl>
    <w:lvl w:ilvl="8" w:tplc="BE8EF3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3D288B"/>
    <w:multiLevelType w:val="hybridMultilevel"/>
    <w:tmpl w:val="264C81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A6428F"/>
    <w:multiLevelType w:val="hybridMultilevel"/>
    <w:tmpl w:val="4414FF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107161"/>
    <w:multiLevelType w:val="hybridMultilevel"/>
    <w:tmpl w:val="DDF6B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9C7962"/>
    <w:multiLevelType w:val="hybridMultilevel"/>
    <w:tmpl w:val="DCFEA87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4A1CB3"/>
    <w:multiLevelType w:val="hybridMultilevel"/>
    <w:tmpl w:val="7070EE18"/>
    <w:lvl w:ilvl="0" w:tplc="9E280BA6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EC46A2"/>
    <w:multiLevelType w:val="hybridMultilevel"/>
    <w:tmpl w:val="12140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544765"/>
    <w:multiLevelType w:val="hybridMultilevel"/>
    <w:tmpl w:val="84A40AB2"/>
    <w:lvl w:ilvl="0" w:tplc="9E280BA6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E5A17"/>
    <w:multiLevelType w:val="hybridMultilevel"/>
    <w:tmpl w:val="F306D8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CE75C4"/>
    <w:multiLevelType w:val="hybridMultilevel"/>
    <w:tmpl w:val="DC4C125C"/>
    <w:lvl w:ilvl="0" w:tplc="AB0C9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E7AF4"/>
    <w:multiLevelType w:val="hybridMultilevel"/>
    <w:tmpl w:val="5FEAEFB8"/>
    <w:lvl w:ilvl="0" w:tplc="9E280BA6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445B7"/>
    <w:multiLevelType w:val="hybridMultilevel"/>
    <w:tmpl w:val="80909658"/>
    <w:lvl w:ilvl="0" w:tplc="9E280BA6">
      <w:start w:val="1"/>
      <w:numFmt w:val="bullet"/>
      <w:lvlText w:val="●"/>
      <w:lvlJc w:val="left"/>
      <w:pPr>
        <w:ind w:left="360" w:hanging="360"/>
      </w:p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053263"/>
    <w:multiLevelType w:val="hybridMultilevel"/>
    <w:tmpl w:val="960CAFA4"/>
    <w:lvl w:ilvl="0" w:tplc="9E280BA6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43CD8"/>
    <w:multiLevelType w:val="hybridMultilevel"/>
    <w:tmpl w:val="F9BC2C72"/>
    <w:lvl w:ilvl="0" w:tplc="9E280BA6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E64FFE"/>
    <w:multiLevelType w:val="hybridMultilevel"/>
    <w:tmpl w:val="B81C7A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EC9FB4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4AC6CB8"/>
    <w:multiLevelType w:val="hybridMultilevel"/>
    <w:tmpl w:val="BD482180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A17BE5"/>
    <w:multiLevelType w:val="hybridMultilevel"/>
    <w:tmpl w:val="2500D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B5807"/>
    <w:multiLevelType w:val="hybridMultilevel"/>
    <w:tmpl w:val="81D678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DA7A63"/>
    <w:multiLevelType w:val="hybridMultilevel"/>
    <w:tmpl w:val="16C24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612061">
    <w:abstractNumId w:val="0"/>
    <w:lvlOverride w:ilvl="0">
      <w:startOverride w:val="1"/>
    </w:lvlOverride>
  </w:num>
  <w:num w:numId="2" w16cid:durableId="775636099">
    <w:abstractNumId w:val="3"/>
  </w:num>
  <w:num w:numId="3" w16cid:durableId="639044752">
    <w:abstractNumId w:val="14"/>
  </w:num>
  <w:num w:numId="4" w16cid:durableId="1311401086">
    <w:abstractNumId w:val="9"/>
  </w:num>
  <w:num w:numId="5" w16cid:durableId="1542009953">
    <w:abstractNumId w:val="15"/>
  </w:num>
  <w:num w:numId="6" w16cid:durableId="1136482964">
    <w:abstractNumId w:val="4"/>
  </w:num>
  <w:num w:numId="7" w16cid:durableId="1741443759">
    <w:abstractNumId w:val="6"/>
  </w:num>
  <w:num w:numId="8" w16cid:durableId="624234852">
    <w:abstractNumId w:val="17"/>
  </w:num>
  <w:num w:numId="9" w16cid:durableId="1481264880">
    <w:abstractNumId w:val="1"/>
  </w:num>
  <w:num w:numId="10" w16cid:durableId="608974835">
    <w:abstractNumId w:val="2"/>
  </w:num>
  <w:num w:numId="11" w16cid:durableId="797256456">
    <w:abstractNumId w:val="18"/>
  </w:num>
  <w:num w:numId="12" w16cid:durableId="365176872">
    <w:abstractNumId w:val="0"/>
  </w:num>
  <w:num w:numId="13" w16cid:durableId="159009324">
    <w:abstractNumId w:val="5"/>
  </w:num>
  <w:num w:numId="14" w16cid:durableId="1045763688">
    <w:abstractNumId w:val="10"/>
  </w:num>
  <w:num w:numId="15" w16cid:durableId="1570965712">
    <w:abstractNumId w:val="7"/>
  </w:num>
  <w:num w:numId="16" w16cid:durableId="1342392026">
    <w:abstractNumId w:val="13"/>
  </w:num>
  <w:num w:numId="17" w16cid:durableId="2113817746">
    <w:abstractNumId w:val="8"/>
  </w:num>
  <w:num w:numId="18" w16cid:durableId="2105950674">
    <w:abstractNumId w:val="11"/>
  </w:num>
  <w:num w:numId="19" w16cid:durableId="1213880988">
    <w:abstractNumId w:val="12"/>
  </w:num>
  <w:num w:numId="20" w16cid:durableId="14250354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E7"/>
    <w:rsid w:val="0007783E"/>
    <w:rsid w:val="000B2A11"/>
    <w:rsid w:val="000B3686"/>
    <w:rsid w:val="000B6873"/>
    <w:rsid w:val="000C686F"/>
    <w:rsid w:val="001013DD"/>
    <w:rsid w:val="00107FA0"/>
    <w:rsid w:val="00140040"/>
    <w:rsid w:val="00142D95"/>
    <w:rsid w:val="001629BF"/>
    <w:rsid w:val="001631BB"/>
    <w:rsid w:val="00164F9A"/>
    <w:rsid w:val="001C2B63"/>
    <w:rsid w:val="001F5D69"/>
    <w:rsid w:val="00214B80"/>
    <w:rsid w:val="002623F6"/>
    <w:rsid w:val="00291432"/>
    <w:rsid w:val="0029348B"/>
    <w:rsid w:val="0029551C"/>
    <w:rsid w:val="002A6C4E"/>
    <w:rsid w:val="002B61EC"/>
    <w:rsid w:val="002C5161"/>
    <w:rsid w:val="002E36C9"/>
    <w:rsid w:val="00300FAF"/>
    <w:rsid w:val="00322001"/>
    <w:rsid w:val="00334C24"/>
    <w:rsid w:val="003547ED"/>
    <w:rsid w:val="00393E0A"/>
    <w:rsid w:val="003B5ACD"/>
    <w:rsid w:val="003C5BC4"/>
    <w:rsid w:val="003D42C6"/>
    <w:rsid w:val="0041454F"/>
    <w:rsid w:val="00454440"/>
    <w:rsid w:val="004D520C"/>
    <w:rsid w:val="00503119"/>
    <w:rsid w:val="00514184"/>
    <w:rsid w:val="0051659B"/>
    <w:rsid w:val="00535709"/>
    <w:rsid w:val="0055059F"/>
    <w:rsid w:val="0057158E"/>
    <w:rsid w:val="00572DC0"/>
    <w:rsid w:val="005A0425"/>
    <w:rsid w:val="005A30AD"/>
    <w:rsid w:val="005A5F7B"/>
    <w:rsid w:val="005D1B7B"/>
    <w:rsid w:val="005E1C0B"/>
    <w:rsid w:val="005F3531"/>
    <w:rsid w:val="005F5FEE"/>
    <w:rsid w:val="00633B32"/>
    <w:rsid w:val="0064710D"/>
    <w:rsid w:val="00663985"/>
    <w:rsid w:val="0067594B"/>
    <w:rsid w:val="006810FC"/>
    <w:rsid w:val="0069524C"/>
    <w:rsid w:val="006B2D97"/>
    <w:rsid w:val="006E72DD"/>
    <w:rsid w:val="007243F4"/>
    <w:rsid w:val="00727DB8"/>
    <w:rsid w:val="00780067"/>
    <w:rsid w:val="00783916"/>
    <w:rsid w:val="00785814"/>
    <w:rsid w:val="00796C43"/>
    <w:rsid w:val="007A68A7"/>
    <w:rsid w:val="007A7889"/>
    <w:rsid w:val="007C4AC8"/>
    <w:rsid w:val="007D4D35"/>
    <w:rsid w:val="008435D0"/>
    <w:rsid w:val="008453AA"/>
    <w:rsid w:val="0085656F"/>
    <w:rsid w:val="00884D44"/>
    <w:rsid w:val="008952D4"/>
    <w:rsid w:val="008B088A"/>
    <w:rsid w:val="008B6542"/>
    <w:rsid w:val="00900CE0"/>
    <w:rsid w:val="00907BEA"/>
    <w:rsid w:val="009828EB"/>
    <w:rsid w:val="009920E7"/>
    <w:rsid w:val="009B146F"/>
    <w:rsid w:val="009B1846"/>
    <w:rsid w:val="009D0CF2"/>
    <w:rsid w:val="009D3946"/>
    <w:rsid w:val="009F66B1"/>
    <w:rsid w:val="00A1480A"/>
    <w:rsid w:val="00A14B68"/>
    <w:rsid w:val="00A43C06"/>
    <w:rsid w:val="00A536AD"/>
    <w:rsid w:val="00A56177"/>
    <w:rsid w:val="00A64EF3"/>
    <w:rsid w:val="00AE5EA9"/>
    <w:rsid w:val="00AF35CA"/>
    <w:rsid w:val="00B0644F"/>
    <w:rsid w:val="00BA5414"/>
    <w:rsid w:val="00BC6197"/>
    <w:rsid w:val="00BD002C"/>
    <w:rsid w:val="00C63CF4"/>
    <w:rsid w:val="00C67A6F"/>
    <w:rsid w:val="00C84712"/>
    <w:rsid w:val="00D24AC8"/>
    <w:rsid w:val="00D72BBD"/>
    <w:rsid w:val="00D82B24"/>
    <w:rsid w:val="00D85974"/>
    <w:rsid w:val="00D913D7"/>
    <w:rsid w:val="00D93780"/>
    <w:rsid w:val="00DB0983"/>
    <w:rsid w:val="00DC2E1E"/>
    <w:rsid w:val="00DC5E57"/>
    <w:rsid w:val="00DF7995"/>
    <w:rsid w:val="00E13299"/>
    <w:rsid w:val="00E423A7"/>
    <w:rsid w:val="00E427AD"/>
    <w:rsid w:val="00E84BF8"/>
    <w:rsid w:val="00E95A7B"/>
    <w:rsid w:val="00EE3F95"/>
    <w:rsid w:val="00EF67C8"/>
    <w:rsid w:val="00F221B9"/>
    <w:rsid w:val="00F227B5"/>
    <w:rsid w:val="00F244E9"/>
    <w:rsid w:val="00F404B1"/>
    <w:rsid w:val="00F501C8"/>
    <w:rsid w:val="00F67577"/>
    <w:rsid w:val="00F9071E"/>
    <w:rsid w:val="00FA0057"/>
    <w:rsid w:val="00FD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9D9AA"/>
  <w15:chartTrackingRefBased/>
  <w15:docId w15:val="{79EE3287-4A2C-4F2F-A4F0-E76C82EB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0E7"/>
    <w:pPr>
      <w:spacing w:after="0" w:line="240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0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0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0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0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0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0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6C4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9348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39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3985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639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3985"/>
    <w:rPr>
      <w:rFonts w:ascii="Calibri" w:eastAsia="Calibri" w:hAnsi="Calibri" w:cs="Calibri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975E2-496C-493D-9E41-239A50B0B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13</Pages>
  <Words>1942</Words>
  <Characters>11071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.</dc:creator>
  <cp:keywords/>
  <dc:description/>
  <cp:lastModifiedBy>Tisha .</cp:lastModifiedBy>
  <cp:revision>161</cp:revision>
  <dcterms:created xsi:type="dcterms:W3CDTF">2026-07-14T12:19:00Z</dcterms:created>
  <dcterms:modified xsi:type="dcterms:W3CDTF">2026-07-24T06:40:00Z</dcterms:modified>
</cp:coreProperties>
</file>